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8682B">
      <w:pPr>
        <w:widowControl/>
        <w:spacing w:line="360" w:lineRule="auto"/>
        <w:ind w:firstLine="6467"/>
        <w:jc w:val="center"/>
        <w:rPr>
          <w:rFonts w:hint="eastAsia" w:ascii="宋体" w:hAnsi="宋体" w:cs="宋体"/>
          <w:b/>
          <w:bCs/>
          <w:color w:val="auto"/>
          <w:spacing w:val="15"/>
          <w:sz w:val="44"/>
          <w:szCs w:val="44"/>
          <w:highlight w:val="none"/>
        </w:rPr>
      </w:pPr>
    </w:p>
    <w:p w14:paraId="1353A202">
      <w:pPr>
        <w:pStyle w:val="25"/>
        <w:ind w:firstLine="0" w:firstLineChars="0"/>
        <w:jc w:val="center"/>
        <w:rPr>
          <w:rFonts w:hint="default" w:ascii="宋体" w:hAnsi="宋体" w:cs="宋体"/>
          <w:b/>
          <w:color w:val="auto"/>
          <w:sz w:val="40"/>
          <w:szCs w:val="40"/>
          <w:highlight w:val="none"/>
          <w:lang w:val="en-US" w:eastAsia="zh-CN"/>
        </w:rPr>
      </w:pPr>
      <w:bookmarkStart w:id="0" w:name="OLE_LINK1"/>
      <w:r>
        <w:rPr>
          <w:rFonts w:hint="eastAsia" w:ascii="宋体" w:hAnsi="宋体" w:cs="宋体"/>
          <w:b/>
          <w:color w:val="auto"/>
          <w:sz w:val="40"/>
          <w:szCs w:val="40"/>
          <w:highlight w:val="none"/>
          <w:lang w:val="en-US" w:eastAsia="zh-CN"/>
        </w:rPr>
        <w:t>响水县自来水厂设备更新及自控系统改造提升工程</w:t>
      </w:r>
    </w:p>
    <w:bookmarkEnd w:id="0"/>
    <w:p w14:paraId="1B941A7B">
      <w:pPr>
        <w:pStyle w:val="25"/>
        <w:ind w:firstLine="440"/>
        <w:rPr>
          <w:rFonts w:hint="eastAsia" w:ascii="宋体" w:hAnsi="宋体" w:cs="宋体"/>
          <w:color w:val="auto"/>
          <w:sz w:val="44"/>
          <w:szCs w:val="44"/>
          <w:highlight w:val="none"/>
        </w:rPr>
      </w:pPr>
    </w:p>
    <w:p w14:paraId="7A46D369">
      <w:pPr>
        <w:pStyle w:val="19"/>
        <w:ind w:firstLine="2468"/>
        <w:rPr>
          <w:color w:val="auto"/>
          <w:highlight w:val="none"/>
        </w:rPr>
      </w:pPr>
    </w:p>
    <w:p w14:paraId="69154991">
      <w:pPr>
        <w:rPr>
          <w:color w:val="auto"/>
          <w:highlight w:val="none"/>
        </w:rPr>
      </w:pPr>
    </w:p>
    <w:p w14:paraId="346D21CD">
      <w:pPr>
        <w:rPr>
          <w:color w:val="auto"/>
          <w:highlight w:val="none"/>
        </w:rPr>
      </w:pPr>
    </w:p>
    <w:p w14:paraId="2C8D7888">
      <w:pPr>
        <w:rPr>
          <w:color w:val="auto"/>
          <w:highlight w:val="none"/>
        </w:rPr>
      </w:pPr>
    </w:p>
    <w:p w14:paraId="3F3DB864">
      <w:pPr>
        <w:rPr>
          <w:color w:val="auto"/>
          <w:highlight w:val="none"/>
        </w:rPr>
      </w:pPr>
    </w:p>
    <w:p w14:paraId="4E6664BF">
      <w:pPr>
        <w:spacing w:line="360" w:lineRule="auto"/>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采  购 文 件</w:t>
      </w:r>
    </w:p>
    <w:p w14:paraId="31C923D0">
      <w:pPr>
        <w:jc w:val="center"/>
        <w:rPr>
          <w:rFonts w:hint="eastAsia" w:ascii="宋体" w:hAnsi="宋体" w:cs="宋体"/>
          <w:b/>
          <w:color w:val="auto"/>
          <w:sz w:val="30"/>
          <w:szCs w:val="30"/>
          <w:highlight w:val="none"/>
        </w:rPr>
      </w:pPr>
    </w:p>
    <w:p w14:paraId="39EF0270">
      <w:pPr>
        <w:jc w:val="center"/>
        <w:rPr>
          <w:rFonts w:hint="eastAsia" w:ascii="宋体" w:hAnsi="宋体" w:cs="宋体"/>
          <w:b/>
          <w:color w:val="auto"/>
          <w:sz w:val="30"/>
          <w:szCs w:val="30"/>
          <w:highlight w:val="none"/>
        </w:rPr>
      </w:pPr>
    </w:p>
    <w:p w14:paraId="73B8B5A0">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项目编号：</w:t>
      </w:r>
      <w:r>
        <w:rPr>
          <w:rFonts w:hint="eastAsia" w:ascii="宋体" w:hAnsi="宋体" w:cs="宋体"/>
          <w:b/>
          <w:color w:val="auto"/>
          <w:sz w:val="30"/>
          <w:szCs w:val="30"/>
          <w:highlight w:val="none"/>
          <w:lang w:val="en-US" w:eastAsia="zh-CN"/>
        </w:rPr>
        <w:t>XSX-GQCG-202608026</w:t>
      </w:r>
    </w:p>
    <w:p w14:paraId="7C5E156E">
      <w:pPr>
        <w:spacing w:line="360" w:lineRule="auto"/>
        <w:jc w:val="center"/>
        <w:rPr>
          <w:rFonts w:hint="eastAsia" w:ascii="宋体" w:hAnsi="宋体" w:cs="宋体"/>
          <w:color w:val="auto"/>
          <w:sz w:val="44"/>
          <w:szCs w:val="44"/>
          <w:highlight w:val="none"/>
        </w:rPr>
      </w:pPr>
    </w:p>
    <w:p w14:paraId="7E6F7DC2">
      <w:pPr>
        <w:spacing w:line="360" w:lineRule="auto"/>
        <w:jc w:val="center"/>
        <w:rPr>
          <w:rFonts w:hint="eastAsia" w:ascii="宋体" w:hAnsi="宋体" w:cs="宋体"/>
          <w:color w:val="auto"/>
          <w:sz w:val="44"/>
          <w:szCs w:val="44"/>
          <w:highlight w:val="none"/>
        </w:rPr>
      </w:pPr>
    </w:p>
    <w:p w14:paraId="79C2A35F">
      <w:pPr>
        <w:pStyle w:val="25"/>
        <w:ind w:firstLine="440"/>
        <w:jc w:val="center"/>
        <w:rPr>
          <w:rFonts w:hint="eastAsia" w:ascii="宋体" w:hAnsi="宋体" w:cs="宋体"/>
          <w:color w:val="auto"/>
          <w:sz w:val="44"/>
          <w:szCs w:val="44"/>
          <w:highlight w:val="none"/>
        </w:rPr>
      </w:pPr>
    </w:p>
    <w:p w14:paraId="371AC352">
      <w:pPr>
        <w:pStyle w:val="25"/>
        <w:ind w:firstLine="440"/>
        <w:jc w:val="center"/>
        <w:rPr>
          <w:rFonts w:hint="eastAsia" w:ascii="宋体" w:hAnsi="宋体" w:cs="宋体"/>
          <w:color w:val="auto"/>
          <w:sz w:val="44"/>
          <w:szCs w:val="44"/>
          <w:highlight w:val="none"/>
        </w:rPr>
      </w:pPr>
    </w:p>
    <w:p w14:paraId="420DD8BB">
      <w:pPr>
        <w:spacing w:line="360" w:lineRule="auto"/>
        <w:jc w:val="center"/>
        <w:rPr>
          <w:rFonts w:hint="eastAsia" w:ascii="宋体" w:hAnsi="宋体" w:cs="宋体"/>
          <w:b/>
          <w:bCs/>
          <w:color w:val="auto"/>
          <w:sz w:val="32"/>
          <w:szCs w:val="32"/>
          <w:highlight w:val="none"/>
        </w:rPr>
      </w:pPr>
    </w:p>
    <w:p w14:paraId="0E8BEBFD">
      <w:pPr>
        <w:pStyle w:val="41"/>
        <w:jc w:val="center"/>
        <w:rPr>
          <w:rFonts w:hint="eastAsia"/>
          <w:color w:val="auto"/>
          <w:highlight w:val="none"/>
        </w:rPr>
      </w:pPr>
    </w:p>
    <w:p w14:paraId="21E7718E">
      <w:pPr>
        <w:spacing w:line="360" w:lineRule="auto"/>
        <w:ind w:firstLine="643" w:firstLineChars="20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 购 人：</w:t>
      </w:r>
      <w:r>
        <w:rPr>
          <w:rFonts w:hint="eastAsia" w:ascii="宋体" w:hAnsi="宋体" w:cs="宋体"/>
          <w:b/>
          <w:bCs/>
          <w:color w:val="auto"/>
          <w:sz w:val="32"/>
          <w:szCs w:val="32"/>
          <w:highlight w:val="none"/>
          <w:lang w:eastAsia="zh-CN"/>
        </w:rPr>
        <w:t>响水县汇响水务发展有限公司</w:t>
      </w:r>
      <w:r>
        <w:rPr>
          <w:rFonts w:hint="eastAsia" w:ascii="宋体" w:hAnsi="宋体" w:cs="宋体"/>
          <w:b/>
          <w:bCs/>
          <w:color w:val="auto"/>
          <w:sz w:val="32"/>
          <w:szCs w:val="32"/>
          <w:highlight w:val="none"/>
        </w:rPr>
        <w:t xml:space="preserve"> </w:t>
      </w:r>
    </w:p>
    <w:p w14:paraId="65B9FD30">
      <w:pPr>
        <w:pStyle w:val="8"/>
        <w:spacing w:line="360" w:lineRule="auto"/>
        <w:rPr>
          <w:rFonts w:hint="eastAsia" w:ascii="宋体" w:hAnsi="宋体" w:eastAsia="宋体" w:cs="宋体"/>
          <w:b/>
          <w:bCs/>
          <w:color w:val="auto"/>
          <w:sz w:val="32"/>
          <w:szCs w:val="32"/>
          <w:highlight w:val="none"/>
        </w:rPr>
      </w:pPr>
    </w:p>
    <w:p w14:paraId="0130E35E">
      <w:pPr>
        <w:pStyle w:val="8"/>
        <w:spacing w:line="360" w:lineRule="auto"/>
        <w:ind w:firstLine="643" w:firstLineChars="20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代理机构：</w:t>
      </w:r>
      <w:r>
        <w:rPr>
          <w:rFonts w:hint="eastAsia" w:ascii="宋体" w:hAnsi="宋体" w:eastAsia="宋体" w:cs="宋体"/>
          <w:b/>
          <w:bCs/>
          <w:color w:val="auto"/>
          <w:kern w:val="2"/>
          <w:position w:val="0"/>
          <w:sz w:val="32"/>
          <w:szCs w:val="32"/>
          <w:highlight w:val="none"/>
          <w:lang w:eastAsia="zh-CN"/>
        </w:rPr>
        <w:t>江苏顺风帆项目管理有限公司</w:t>
      </w:r>
      <w:r>
        <w:rPr>
          <w:rFonts w:hint="eastAsia" w:ascii="宋体" w:hAnsi="宋体" w:eastAsia="宋体" w:cs="宋体"/>
          <w:b/>
          <w:bCs/>
          <w:color w:val="auto"/>
          <w:kern w:val="2"/>
          <w:position w:val="0"/>
          <w:sz w:val="32"/>
          <w:szCs w:val="32"/>
          <w:highlight w:val="none"/>
        </w:rPr>
        <w:t xml:space="preserve">   </w:t>
      </w:r>
    </w:p>
    <w:p w14:paraId="58333F4F">
      <w:pPr>
        <w:tabs>
          <w:tab w:val="left" w:pos="1145"/>
        </w:tabs>
        <w:spacing w:line="360" w:lineRule="auto"/>
        <w:jc w:val="center"/>
        <w:rPr>
          <w:rFonts w:hint="eastAsia" w:ascii="宋体" w:hAnsi="宋体" w:cs="宋体"/>
          <w:b/>
          <w:bCs/>
          <w:color w:val="auto"/>
          <w:sz w:val="32"/>
          <w:szCs w:val="32"/>
          <w:highlight w:val="none"/>
        </w:rPr>
      </w:pPr>
    </w:p>
    <w:p w14:paraId="062BD520">
      <w:pPr>
        <w:spacing w:before="80" w:beforeLines="25" w:after="80" w:afterLines="25"/>
        <w:jc w:val="center"/>
        <w:rPr>
          <w:rFonts w:hint="eastAsia" w:cs="宋体"/>
          <w:b/>
          <w:bCs/>
          <w:color w:val="auto"/>
          <w:sz w:val="32"/>
          <w:szCs w:val="32"/>
          <w:highlight w:val="none"/>
        </w:rPr>
      </w:pPr>
      <w:r>
        <w:rPr>
          <w:rFonts w:hint="eastAsia" w:cs="宋体"/>
          <w:b/>
          <w:bCs/>
          <w:color w:val="auto"/>
          <w:sz w:val="32"/>
          <w:szCs w:val="32"/>
          <w:highlight w:val="none"/>
        </w:rPr>
        <w:t>日   期：二〇二</w:t>
      </w:r>
      <w:r>
        <w:rPr>
          <w:rFonts w:hint="eastAsia" w:cs="宋体"/>
          <w:b/>
          <w:bCs/>
          <w:color w:val="auto"/>
          <w:sz w:val="32"/>
          <w:szCs w:val="32"/>
          <w:highlight w:val="none"/>
          <w:lang w:val="en-US" w:eastAsia="zh-CN"/>
        </w:rPr>
        <w:t>六</w:t>
      </w:r>
      <w:r>
        <w:rPr>
          <w:rFonts w:hint="eastAsia" w:cs="宋体"/>
          <w:b/>
          <w:bCs/>
          <w:color w:val="auto"/>
          <w:sz w:val="32"/>
          <w:szCs w:val="32"/>
          <w:highlight w:val="none"/>
        </w:rPr>
        <w:t>年</w:t>
      </w:r>
      <w:r>
        <w:rPr>
          <w:rFonts w:hint="eastAsia" w:cs="宋体"/>
          <w:b/>
          <w:bCs/>
          <w:color w:val="auto"/>
          <w:sz w:val="32"/>
          <w:szCs w:val="32"/>
          <w:highlight w:val="none"/>
          <w:lang w:val="en-US" w:eastAsia="zh-CN"/>
        </w:rPr>
        <w:t>八</w:t>
      </w:r>
      <w:r>
        <w:rPr>
          <w:rFonts w:hint="eastAsia" w:cs="宋体"/>
          <w:b/>
          <w:bCs/>
          <w:color w:val="auto"/>
          <w:sz w:val="32"/>
          <w:szCs w:val="32"/>
          <w:highlight w:val="none"/>
        </w:rPr>
        <w:t>月</w:t>
      </w:r>
    </w:p>
    <w:p w14:paraId="6396FD50">
      <w:pPr>
        <w:pStyle w:val="41"/>
        <w:rPr>
          <w:rFonts w:hint="eastAsia"/>
        </w:rPr>
      </w:pPr>
    </w:p>
    <w:p w14:paraId="07A02F27">
      <w:pPr>
        <w:spacing w:before="80" w:beforeLines="25" w:after="80" w:afterLines="25"/>
        <w:jc w:val="center"/>
        <w:rPr>
          <w:rFonts w:hint="eastAsia" w:ascii="宋体" w:hAnsi="宋体" w:cs="宋体"/>
          <w:b/>
          <w:color w:val="auto"/>
          <w:sz w:val="40"/>
          <w:szCs w:val="40"/>
          <w:highlight w:val="none"/>
        </w:rPr>
        <w:sectPr>
          <w:footerReference r:id="rId3" w:type="default"/>
          <w:pgSz w:w="11906" w:h="16838"/>
          <w:pgMar w:top="1440" w:right="1440" w:bottom="1440" w:left="1440" w:header="851" w:footer="686" w:gutter="0"/>
          <w:cols w:space="0" w:num="1"/>
          <w:docGrid w:type="lines" w:linePitch="322" w:charSpace="0"/>
        </w:sectPr>
      </w:pPr>
      <w:bookmarkStart w:id="1" w:name="_Toc17489"/>
      <w:bookmarkStart w:id="2" w:name="_Toc21806"/>
      <w:bookmarkStart w:id="3" w:name="_Toc32463"/>
      <w:bookmarkStart w:id="4" w:name="_Toc6636"/>
      <w:bookmarkStart w:id="5" w:name="_Toc16909"/>
      <w:bookmarkStart w:id="6" w:name="_Toc6302"/>
    </w:p>
    <w:p w14:paraId="179BF953">
      <w:pPr>
        <w:spacing w:before="80" w:beforeLines="25" w:after="80" w:afterLines="25"/>
        <w:jc w:val="center"/>
        <w:rPr>
          <w:rFonts w:hint="eastAsia" w:ascii="宋体" w:hAnsi="宋体" w:cs="宋体"/>
          <w:b/>
          <w:color w:val="auto"/>
          <w:sz w:val="40"/>
          <w:szCs w:val="40"/>
          <w:highlight w:val="none"/>
        </w:rPr>
      </w:pPr>
    </w:p>
    <w:p w14:paraId="29D2E778">
      <w:pPr>
        <w:spacing w:before="80" w:beforeLines="25" w:after="80" w:afterLines="25"/>
        <w:jc w:val="center"/>
        <w:rPr>
          <w:rFonts w:hint="eastAsia" w:ascii="宋体" w:hAnsi="宋体" w:cs="宋体"/>
          <w:b/>
          <w:color w:val="auto"/>
          <w:sz w:val="40"/>
          <w:szCs w:val="40"/>
          <w:highlight w:val="none"/>
        </w:rPr>
      </w:pPr>
    </w:p>
    <w:p w14:paraId="64588F1E">
      <w:pPr>
        <w:spacing w:before="80" w:beforeLines="25" w:after="80" w:afterLines="25"/>
        <w:jc w:val="center"/>
        <w:rPr>
          <w:rFonts w:hint="eastAsia" w:ascii="宋体" w:hAnsi="宋体" w:cs="宋体"/>
          <w:b/>
          <w:color w:val="auto"/>
          <w:sz w:val="40"/>
          <w:szCs w:val="40"/>
          <w:highlight w:val="none"/>
        </w:rPr>
      </w:pPr>
    </w:p>
    <w:p w14:paraId="0E9BF70F">
      <w:pPr>
        <w:spacing w:before="80" w:beforeLines="25" w:after="80" w:afterLines="25"/>
        <w:jc w:val="center"/>
        <w:rPr>
          <w:rFonts w:hint="eastAsia" w:ascii="宋体" w:hAnsi="宋体" w:cs="宋体"/>
          <w:b/>
          <w:color w:val="auto"/>
          <w:sz w:val="40"/>
          <w:szCs w:val="40"/>
          <w:highlight w:val="none"/>
        </w:rPr>
      </w:pPr>
    </w:p>
    <w:p w14:paraId="592238F3">
      <w:pPr>
        <w:spacing w:before="80" w:beforeLines="25" w:after="80" w:afterLines="25"/>
        <w:jc w:val="center"/>
        <w:rPr>
          <w:rFonts w:hint="eastAsia" w:ascii="宋体" w:hAnsi="宋体" w:cs="宋体"/>
          <w:b/>
          <w:color w:val="auto"/>
          <w:sz w:val="40"/>
          <w:szCs w:val="40"/>
          <w:highlight w:val="none"/>
        </w:rPr>
      </w:pPr>
    </w:p>
    <w:p w14:paraId="1839F9A8">
      <w:pPr>
        <w:spacing w:before="80" w:beforeLines="25" w:after="80" w:afterLines="25"/>
        <w:jc w:val="center"/>
        <w:rPr>
          <w:rFonts w:hint="eastAsia" w:ascii="宋体" w:hAnsi="宋体" w:cs="宋体"/>
          <w:b/>
          <w:color w:val="auto"/>
          <w:sz w:val="40"/>
          <w:szCs w:val="40"/>
          <w:highlight w:val="none"/>
        </w:rPr>
      </w:pPr>
    </w:p>
    <w:p w14:paraId="048384EE">
      <w:pPr>
        <w:spacing w:before="80" w:beforeLines="25" w:after="80" w:afterLines="25"/>
        <w:jc w:val="center"/>
        <w:rPr>
          <w:rFonts w:hint="eastAsia" w:ascii="宋体" w:hAnsi="宋体" w:cs="宋体"/>
          <w:b/>
          <w:color w:val="auto"/>
          <w:sz w:val="40"/>
          <w:szCs w:val="40"/>
          <w:highlight w:val="none"/>
        </w:rPr>
      </w:pPr>
    </w:p>
    <w:p w14:paraId="5F440AF5">
      <w:pPr>
        <w:spacing w:before="80" w:beforeLines="25" w:after="80" w:afterLines="25"/>
        <w:jc w:val="center"/>
        <w:rPr>
          <w:rFonts w:hint="eastAsia" w:ascii="宋体" w:hAnsi="宋体" w:cs="宋体"/>
          <w:b/>
          <w:color w:val="auto"/>
          <w:sz w:val="40"/>
          <w:szCs w:val="40"/>
          <w:highlight w:val="none"/>
        </w:rPr>
      </w:pPr>
    </w:p>
    <w:p w14:paraId="0229BC55">
      <w:pPr>
        <w:spacing w:before="80" w:beforeLines="25" w:after="80" w:afterLines="25"/>
        <w:jc w:val="center"/>
        <w:rPr>
          <w:rFonts w:hint="eastAsia" w:ascii="宋体" w:hAnsi="宋体" w:cs="宋体"/>
          <w:b/>
          <w:color w:val="auto"/>
          <w:sz w:val="40"/>
          <w:szCs w:val="40"/>
          <w:highlight w:val="none"/>
        </w:rPr>
      </w:pPr>
    </w:p>
    <w:p w14:paraId="1131C7C8">
      <w:pPr>
        <w:spacing w:before="80" w:beforeLines="25" w:after="80" w:afterLines="25"/>
        <w:jc w:val="center"/>
        <w:rPr>
          <w:rFonts w:hint="eastAsia" w:ascii="宋体" w:hAnsi="宋体" w:cs="宋体"/>
          <w:b/>
          <w:color w:val="auto"/>
          <w:sz w:val="40"/>
          <w:szCs w:val="40"/>
          <w:highlight w:val="none"/>
        </w:rPr>
      </w:pPr>
    </w:p>
    <w:p w14:paraId="7DD981FB">
      <w:pPr>
        <w:spacing w:before="80" w:beforeLines="25" w:after="80" w:afterLines="25"/>
        <w:jc w:val="center"/>
        <w:rPr>
          <w:rFonts w:hint="eastAsia" w:ascii="宋体" w:hAnsi="宋体" w:cs="宋体"/>
          <w:b/>
          <w:color w:val="auto"/>
          <w:sz w:val="40"/>
          <w:szCs w:val="40"/>
          <w:highlight w:val="none"/>
        </w:rPr>
      </w:pPr>
    </w:p>
    <w:p w14:paraId="499255C5">
      <w:pPr>
        <w:spacing w:before="80" w:beforeLines="25" w:after="80" w:afterLines="25"/>
        <w:jc w:val="center"/>
        <w:rPr>
          <w:rFonts w:hint="eastAsia" w:ascii="宋体" w:hAnsi="宋体" w:cs="宋体"/>
          <w:b/>
          <w:color w:val="auto"/>
          <w:sz w:val="40"/>
          <w:szCs w:val="40"/>
          <w:highlight w:val="none"/>
        </w:rPr>
      </w:pPr>
    </w:p>
    <w:p w14:paraId="029FA3C4">
      <w:pPr>
        <w:spacing w:before="80" w:beforeLines="25" w:after="80" w:afterLines="25"/>
        <w:jc w:val="center"/>
        <w:rPr>
          <w:rFonts w:hint="eastAsia" w:ascii="宋体" w:hAnsi="宋体" w:cs="宋体"/>
          <w:b/>
          <w:color w:val="auto"/>
          <w:sz w:val="40"/>
          <w:szCs w:val="40"/>
          <w:highlight w:val="none"/>
        </w:rPr>
      </w:pPr>
    </w:p>
    <w:p w14:paraId="07B36805">
      <w:pPr>
        <w:spacing w:before="80" w:beforeLines="25" w:after="80" w:afterLines="25"/>
        <w:jc w:val="center"/>
        <w:rPr>
          <w:rFonts w:hint="eastAsia" w:ascii="宋体" w:hAnsi="宋体" w:cs="宋体"/>
          <w:b/>
          <w:color w:val="auto"/>
          <w:sz w:val="40"/>
          <w:szCs w:val="40"/>
          <w:highlight w:val="none"/>
        </w:rPr>
      </w:pPr>
    </w:p>
    <w:p w14:paraId="02258F04">
      <w:pPr>
        <w:spacing w:before="80" w:beforeLines="25" w:after="80" w:afterLines="25"/>
        <w:jc w:val="center"/>
        <w:rPr>
          <w:rFonts w:hint="eastAsia" w:ascii="宋体" w:hAnsi="宋体" w:cs="宋体"/>
          <w:b/>
          <w:color w:val="auto"/>
          <w:sz w:val="40"/>
          <w:szCs w:val="40"/>
          <w:highlight w:val="none"/>
        </w:rPr>
      </w:pPr>
    </w:p>
    <w:p w14:paraId="61CBF253">
      <w:pPr>
        <w:spacing w:before="80" w:beforeLines="25" w:after="80" w:afterLines="25"/>
        <w:jc w:val="center"/>
        <w:rPr>
          <w:rFonts w:hint="eastAsia" w:ascii="宋体" w:hAnsi="宋体" w:cs="宋体"/>
          <w:b/>
          <w:color w:val="auto"/>
          <w:sz w:val="40"/>
          <w:szCs w:val="40"/>
          <w:highlight w:val="none"/>
        </w:rPr>
      </w:pPr>
    </w:p>
    <w:p w14:paraId="42E49A18">
      <w:pPr>
        <w:spacing w:before="80" w:beforeLines="25" w:after="80" w:afterLines="25"/>
        <w:jc w:val="center"/>
        <w:rPr>
          <w:rFonts w:hint="eastAsia" w:ascii="宋体" w:hAnsi="宋体" w:cs="宋体"/>
          <w:b/>
          <w:color w:val="auto"/>
          <w:sz w:val="40"/>
          <w:szCs w:val="40"/>
          <w:highlight w:val="none"/>
        </w:rPr>
      </w:pPr>
    </w:p>
    <w:p w14:paraId="6F474831">
      <w:pPr>
        <w:spacing w:before="80" w:beforeLines="25" w:after="80" w:afterLines="25"/>
        <w:jc w:val="center"/>
        <w:rPr>
          <w:rFonts w:hint="eastAsia" w:ascii="宋体" w:hAnsi="宋体" w:cs="宋体"/>
          <w:b/>
          <w:color w:val="auto"/>
          <w:sz w:val="40"/>
          <w:szCs w:val="40"/>
          <w:highlight w:val="none"/>
        </w:rPr>
      </w:pPr>
    </w:p>
    <w:p w14:paraId="2259E434">
      <w:pPr>
        <w:spacing w:before="80" w:beforeLines="25" w:after="80" w:afterLines="25"/>
        <w:jc w:val="center"/>
        <w:rPr>
          <w:rFonts w:hint="eastAsia" w:ascii="宋体" w:hAnsi="宋体" w:cs="宋体"/>
          <w:b/>
          <w:color w:val="auto"/>
          <w:sz w:val="40"/>
          <w:szCs w:val="40"/>
          <w:highlight w:val="none"/>
        </w:rPr>
      </w:pPr>
    </w:p>
    <w:p w14:paraId="44470E70">
      <w:pPr>
        <w:spacing w:before="80" w:beforeLines="25" w:after="80" w:afterLines="25"/>
        <w:jc w:val="center"/>
        <w:rPr>
          <w:rFonts w:hint="eastAsia" w:ascii="宋体" w:hAnsi="宋体" w:cs="宋体"/>
          <w:b/>
          <w:color w:val="auto"/>
          <w:sz w:val="40"/>
          <w:szCs w:val="40"/>
          <w:highlight w:val="none"/>
        </w:rPr>
        <w:sectPr>
          <w:footerReference r:id="rId4" w:type="default"/>
          <w:pgSz w:w="11906" w:h="16838"/>
          <w:pgMar w:top="1440" w:right="1440" w:bottom="1440" w:left="1440" w:header="851" w:footer="686" w:gutter="0"/>
          <w:pgNumType w:fmt="decimal" w:start="1"/>
          <w:cols w:space="0" w:num="1"/>
          <w:docGrid w:type="lines" w:linePitch="322" w:charSpace="0"/>
        </w:sectPr>
      </w:pPr>
    </w:p>
    <w:p w14:paraId="7F254277">
      <w:pPr>
        <w:spacing w:before="80" w:beforeLines="25" w:after="80" w:afterLines="25"/>
        <w:jc w:val="center"/>
        <w:rPr>
          <w:rFonts w:hint="eastAsia" w:ascii="宋体" w:hAnsi="宋体" w:cs="宋体"/>
          <w:b/>
          <w:color w:val="auto"/>
          <w:sz w:val="44"/>
          <w:szCs w:val="44"/>
          <w:highlight w:val="none"/>
        </w:rPr>
      </w:pPr>
      <w:r>
        <w:rPr>
          <w:rFonts w:hint="eastAsia" w:ascii="宋体" w:hAnsi="宋体" w:cs="宋体"/>
          <w:b/>
          <w:color w:val="auto"/>
          <w:sz w:val="40"/>
          <w:szCs w:val="40"/>
          <w:highlight w:val="none"/>
        </w:rPr>
        <w:t>第一章  招标公告</w:t>
      </w:r>
    </w:p>
    <w:p w14:paraId="678C67E9">
      <w:pPr>
        <w:widowControl/>
        <w:spacing w:line="500" w:lineRule="exact"/>
        <w:jc w:val="center"/>
        <w:rPr>
          <w:rFonts w:hint="eastAsia" w:ascii="宋体" w:hAnsi="宋体" w:cs="宋体"/>
          <w:b/>
          <w:color w:val="auto"/>
          <w:kern w:val="0"/>
          <w:sz w:val="30"/>
          <w:szCs w:val="30"/>
          <w:highlight w:val="none"/>
        </w:rPr>
      </w:pPr>
      <w:bookmarkStart w:id="7" w:name="OLE_LINK2"/>
      <w:r>
        <w:rPr>
          <w:rFonts w:hint="eastAsia" w:ascii="宋体" w:hAnsi="宋体" w:cs="宋体"/>
          <w:b/>
          <w:color w:val="auto"/>
          <w:kern w:val="0"/>
          <w:sz w:val="30"/>
          <w:szCs w:val="30"/>
          <w:highlight w:val="none"/>
          <w:lang w:eastAsia="zh-CN"/>
        </w:rPr>
        <w:t>响水县自来水厂设备更新及自控系统改造提升工程</w:t>
      </w:r>
      <w:r>
        <w:rPr>
          <w:rFonts w:hint="eastAsia" w:ascii="宋体" w:hAnsi="宋体" w:cs="宋体"/>
          <w:b/>
          <w:color w:val="auto"/>
          <w:kern w:val="0"/>
          <w:sz w:val="30"/>
          <w:szCs w:val="30"/>
          <w:highlight w:val="none"/>
        </w:rPr>
        <w:t>招标公告</w:t>
      </w:r>
    </w:p>
    <w:p w14:paraId="1C977163">
      <w:pPr>
        <w:widowControl/>
        <w:spacing w:line="500" w:lineRule="exact"/>
        <w:jc w:val="center"/>
        <w:rPr>
          <w:rFonts w:hint="eastAsia" w:ascii="宋体" w:hAnsi="宋体" w:cs="宋体"/>
          <w:b/>
          <w:color w:val="auto"/>
          <w:kern w:val="0"/>
          <w:sz w:val="30"/>
          <w:szCs w:val="30"/>
          <w:highlight w:val="none"/>
        </w:rPr>
      </w:pPr>
      <w:r>
        <w:rPr>
          <w:rFonts w:hint="eastAsia" w:ascii="宋体" w:hAnsi="宋体" w:cs="宋体"/>
          <w:b/>
          <w:color w:val="auto"/>
          <w:kern w:val="0"/>
          <w:sz w:val="30"/>
          <w:szCs w:val="30"/>
          <w:highlight w:val="none"/>
        </w:rPr>
        <w:t>（不见面开标）</w:t>
      </w:r>
    </w:p>
    <w:p w14:paraId="3EBF92C2">
      <w:pPr>
        <w:pStyle w:val="20"/>
        <w:ind w:left="0" w:firstLine="0"/>
        <w:jc w:val="left"/>
        <w:rPr>
          <w:color w:val="auto"/>
          <w:highlight w:val="none"/>
        </w:rPr>
      </w:pPr>
      <w:r>
        <w:rPr>
          <w:rFonts w:hint="eastAsia"/>
          <w:color w:val="auto"/>
          <w:highlight w:val="none"/>
        </w:rPr>
        <w:t>（本项目由采购人自行组织实施，响水县公共资源交易中心仅代采购人发布公告，不参加该项目的采购活动）</w:t>
      </w:r>
    </w:p>
    <w:p w14:paraId="52E2BD77">
      <w:pPr>
        <w:pBdr>
          <w:top w:val="single" w:color="auto" w:sz="4" w:space="1"/>
          <w:left w:val="single" w:color="auto" w:sz="4" w:space="4"/>
          <w:bottom w:val="single" w:color="auto" w:sz="4" w:space="1"/>
          <w:right w:val="single" w:color="auto" w:sz="4" w:space="4"/>
        </w:pBdr>
        <w:spacing w:before="80" w:beforeLines="25" w:after="80" w:afterLines="25" w:line="420" w:lineRule="exact"/>
        <w:rPr>
          <w:rFonts w:hint="eastAsia" w:ascii="宋体" w:hAnsi="宋体" w:cs="宋体"/>
          <w:color w:val="auto"/>
          <w:sz w:val="24"/>
          <w:highlight w:val="none"/>
        </w:rPr>
      </w:pPr>
      <w:r>
        <w:rPr>
          <w:rFonts w:hint="eastAsia" w:ascii="宋体" w:hAnsi="宋体" w:cs="宋体"/>
          <w:color w:val="auto"/>
          <w:sz w:val="24"/>
          <w:highlight w:val="none"/>
        </w:rPr>
        <w:t>项目概况：</w:t>
      </w:r>
    </w:p>
    <w:p w14:paraId="69BA7579">
      <w:pPr>
        <w:pBdr>
          <w:top w:val="single" w:color="auto" w:sz="4" w:space="1"/>
          <w:left w:val="single" w:color="auto" w:sz="4" w:space="4"/>
          <w:bottom w:val="single" w:color="auto" w:sz="4" w:space="1"/>
          <w:right w:val="single" w:color="auto" w:sz="4" w:space="4"/>
        </w:pBdr>
        <w:spacing w:before="80" w:beforeLines="25" w:after="80" w:afterLines="25"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u w:val="single"/>
          <w:lang w:eastAsia="zh-CN"/>
        </w:rPr>
        <w:t>响水县自来水厂设备更新及自控系统改造提升工程</w:t>
      </w:r>
      <w:r>
        <w:rPr>
          <w:rFonts w:hint="eastAsia" w:ascii="宋体" w:hAnsi="宋体" w:cs="宋体"/>
          <w:color w:val="auto"/>
          <w:sz w:val="24"/>
          <w:highlight w:val="none"/>
        </w:rPr>
        <w:t>的潜在投标人应在</w:t>
      </w:r>
      <w:r>
        <w:rPr>
          <w:rFonts w:hint="eastAsia" w:ascii="宋体" w:hAnsi="宋体" w:cs="宋体"/>
          <w:color w:val="auto"/>
          <w:sz w:val="24"/>
          <w:highlight w:val="none"/>
          <w:u w:val="single"/>
        </w:rPr>
        <w:t>响水县人民政府网（http://www.xiangshui.gov.cn/）</w:t>
      </w:r>
      <w:r>
        <w:rPr>
          <w:rFonts w:hint="eastAsia" w:ascii="宋体" w:hAnsi="宋体" w:cs="宋体"/>
          <w:color w:val="auto"/>
          <w:sz w:val="24"/>
          <w:highlight w:val="none"/>
        </w:rPr>
        <w:t>获取招标文件，并于202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点00分</w:t>
      </w:r>
      <w:r>
        <w:rPr>
          <w:rFonts w:hint="eastAsia" w:ascii="宋体" w:hAnsi="宋体" w:cs="宋体"/>
          <w:bCs/>
          <w:color w:val="auto"/>
          <w:sz w:val="24"/>
          <w:highlight w:val="none"/>
        </w:rPr>
        <w:t>（北京时间）前递交投标文件</w:t>
      </w:r>
      <w:r>
        <w:rPr>
          <w:rFonts w:hint="eastAsia" w:ascii="宋体" w:hAnsi="宋体" w:cs="宋体"/>
          <w:color w:val="auto"/>
          <w:sz w:val="24"/>
          <w:highlight w:val="none"/>
        </w:rPr>
        <w:t>。</w:t>
      </w:r>
    </w:p>
    <w:p w14:paraId="3B87A2F6">
      <w:pPr>
        <w:keepNext w:val="0"/>
        <w:keepLines w:val="0"/>
        <w:pageBreakBefore w:val="0"/>
        <w:widowControl/>
        <w:kinsoku/>
        <w:wordWrap/>
        <w:overflowPunct/>
        <w:bidi w:val="0"/>
        <w:adjustRightInd w:val="0"/>
        <w:snapToGrid w:val="0"/>
        <w:spacing w:line="360" w:lineRule="auto"/>
        <w:textAlignment w:val="auto"/>
        <w:rPr>
          <w:rFonts w:hint="eastAsia" w:ascii="宋体" w:hAnsi="宋体" w:cs="宋体"/>
          <w:b/>
          <w:color w:val="auto"/>
          <w:kern w:val="0"/>
          <w:sz w:val="24"/>
          <w:highlight w:val="none"/>
        </w:rPr>
      </w:pPr>
      <w:r>
        <w:rPr>
          <w:rFonts w:hint="eastAsia" w:ascii="宋体" w:hAnsi="宋体" w:cs="宋体"/>
          <w:b/>
          <w:color w:val="auto"/>
          <w:kern w:val="0"/>
          <w:sz w:val="24"/>
          <w:highlight w:val="none"/>
        </w:rPr>
        <w:t>一、项目基本情况</w:t>
      </w:r>
    </w:p>
    <w:p w14:paraId="66560BAD">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rPr>
        <w:t>项目编号：</w:t>
      </w:r>
      <w:r>
        <w:rPr>
          <w:rFonts w:hint="eastAsia" w:ascii="宋体" w:hAnsi="宋体" w:cs="宋体"/>
          <w:bCs/>
          <w:color w:val="auto"/>
          <w:kern w:val="0"/>
          <w:sz w:val="24"/>
          <w:highlight w:val="none"/>
          <w:lang w:val="en-US" w:eastAsia="zh-CN"/>
        </w:rPr>
        <w:t>XSX-GQCG-202608026</w:t>
      </w:r>
    </w:p>
    <w:p w14:paraId="2625F124">
      <w:pPr>
        <w:keepNext w:val="0"/>
        <w:keepLines w:val="0"/>
        <w:pageBreakBefore w:val="0"/>
        <w:widowControl/>
        <w:kinsoku/>
        <w:wordWrap/>
        <w:overflowPunct/>
        <w:bidi w:val="0"/>
        <w:adjustRightInd w:val="0"/>
        <w:snapToGrid w:val="0"/>
        <w:spacing w:line="360" w:lineRule="auto"/>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项目名称：</w:t>
      </w:r>
      <w:r>
        <w:rPr>
          <w:rFonts w:hint="eastAsia" w:ascii="宋体" w:hAnsi="宋体" w:cs="宋体"/>
          <w:bCs/>
          <w:color w:val="auto"/>
          <w:sz w:val="24"/>
          <w:highlight w:val="none"/>
          <w:lang w:eastAsia="zh-CN"/>
        </w:rPr>
        <w:t>响水县自来水厂设备更新及自控系统改造提升工程</w:t>
      </w:r>
    </w:p>
    <w:p w14:paraId="22A0AFCC">
      <w:pPr>
        <w:keepNext w:val="0"/>
        <w:keepLines w:val="0"/>
        <w:pageBreakBefore w:val="0"/>
        <w:widowControl/>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预算金额：</w:t>
      </w:r>
      <w:r>
        <w:rPr>
          <w:rFonts w:hint="eastAsia" w:ascii="宋体" w:hAnsi="宋体" w:cs="宋体"/>
          <w:bCs/>
          <w:color w:val="auto"/>
          <w:sz w:val="24"/>
          <w:highlight w:val="none"/>
          <w:lang w:val="en-US" w:eastAsia="zh-CN"/>
        </w:rPr>
        <w:t>20177689.05</w:t>
      </w:r>
      <w:r>
        <w:rPr>
          <w:rFonts w:hint="eastAsia" w:ascii="宋体" w:hAnsi="宋体" w:cs="宋体"/>
          <w:bCs/>
          <w:color w:val="auto"/>
          <w:sz w:val="24"/>
          <w:highlight w:val="none"/>
        </w:rPr>
        <w:t>元</w:t>
      </w:r>
    </w:p>
    <w:p w14:paraId="40F436AA">
      <w:pPr>
        <w:keepNext w:val="0"/>
        <w:keepLines w:val="0"/>
        <w:pageBreakBefore w:val="0"/>
        <w:widowControl/>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最高限价：</w:t>
      </w:r>
      <w:r>
        <w:rPr>
          <w:rFonts w:hint="eastAsia" w:ascii="宋体" w:hAnsi="宋体" w:cs="宋体"/>
          <w:bCs/>
          <w:color w:val="auto"/>
          <w:sz w:val="24"/>
          <w:highlight w:val="none"/>
          <w:lang w:val="en-US" w:eastAsia="zh-CN"/>
        </w:rPr>
        <w:t>20177689.05</w:t>
      </w:r>
      <w:r>
        <w:rPr>
          <w:rFonts w:hint="eastAsia" w:ascii="宋体" w:hAnsi="宋体" w:cs="宋体"/>
          <w:bCs/>
          <w:color w:val="auto"/>
          <w:sz w:val="24"/>
          <w:highlight w:val="none"/>
        </w:rPr>
        <w:t>元，报价超过最高限价为无效标。</w:t>
      </w:r>
    </w:p>
    <w:p w14:paraId="7FA63542">
      <w:pPr>
        <w:keepNext w:val="0"/>
        <w:keepLines w:val="0"/>
        <w:pageBreakBefore w:val="0"/>
        <w:widowControl/>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采购需求：</w:t>
      </w:r>
      <w:r>
        <w:rPr>
          <w:rFonts w:hint="eastAsia" w:ascii="宋体" w:hAnsi="宋体" w:cs="宋体"/>
          <w:bCs/>
          <w:color w:val="auto"/>
          <w:sz w:val="24"/>
          <w:highlight w:val="none"/>
          <w:lang w:eastAsia="zh-CN"/>
        </w:rPr>
        <w:t>响水县自来水厂设备更新及自控系统改造提升工程</w:t>
      </w:r>
      <w:r>
        <w:rPr>
          <w:rFonts w:hint="eastAsia" w:ascii="宋体" w:hAnsi="宋体" w:cs="宋体"/>
          <w:bCs/>
          <w:color w:val="auto"/>
          <w:sz w:val="24"/>
          <w:highlight w:val="none"/>
        </w:rPr>
        <w:t>。</w:t>
      </w:r>
      <w:r>
        <w:rPr>
          <w:rFonts w:hint="eastAsia" w:ascii="宋体" w:hAnsi="宋体" w:cs="宋体"/>
          <w:color w:val="auto"/>
          <w:sz w:val="24"/>
          <w:highlight w:val="none"/>
        </w:rPr>
        <w:t>具体内容详见第三章项目需求。</w:t>
      </w:r>
    </w:p>
    <w:p w14:paraId="3579331C">
      <w:pPr>
        <w:keepNext w:val="0"/>
        <w:keepLines w:val="0"/>
        <w:pageBreakBefore w:val="0"/>
        <w:widowControl/>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合同履行期限：</w:t>
      </w:r>
      <w:r>
        <w:rPr>
          <w:rFonts w:hint="eastAsia" w:ascii="宋体" w:hAnsi="宋体" w:cs="宋体"/>
          <w:bCs/>
          <w:color w:val="auto"/>
          <w:sz w:val="24"/>
          <w:highlight w:val="none"/>
          <w:lang w:val="en-US" w:eastAsia="zh-CN"/>
        </w:rPr>
        <w:t>180</w:t>
      </w:r>
      <w:r>
        <w:rPr>
          <w:rFonts w:hint="eastAsia" w:ascii="宋体" w:hAnsi="宋体" w:cs="宋体"/>
          <w:bCs/>
          <w:color w:val="auto"/>
          <w:sz w:val="24"/>
          <w:highlight w:val="none"/>
        </w:rPr>
        <w:t>日历天内完成全部采购设备的</w:t>
      </w:r>
      <w:bookmarkStart w:id="8" w:name="_Hlk171519746"/>
      <w:r>
        <w:rPr>
          <w:rFonts w:hint="eastAsia" w:ascii="宋体" w:hAnsi="宋体" w:cs="宋体"/>
          <w:bCs/>
          <w:color w:val="auto"/>
          <w:sz w:val="24"/>
          <w:highlight w:val="none"/>
        </w:rPr>
        <w:t>供货、安装、调试、并验收合格后交付甲方使用</w:t>
      </w:r>
      <w:bookmarkEnd w:id="8"/>
      <w:r>
        <w:rPr>
          <w:rFonts w:hint="eastAsia" w:ascii="宋体" w:hAnsi="宋体" w:cs="宋体"/>
          <w:bCs/>
          <w:color w:val="auto"/>
          <w:sz w:val="24"/>
          <w:highlight w:val="none"/>
        </w:rPr>
        <w:t>。</w:t>
      </w:r>
    </w:p>
    <w:p w14:paraId="2484CE5D">
      <w:pPr>
        <w:keepNext w:val="0"/>
        <w:keepLines w:val="0"/>
        <w:pageBreakBefore w:val="0"/>
        <w:widowControl/>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质量标准：合格，产品为全新，未使用过的原装合格正品，质量符合各项技术标准、国家环保要求和国家强制性标准。</w:t>
      </w:r>
    </w:p>
    <w:p w14:paraId="002CF20A">
      <w:pPr>
        <w:pStyle w:val="9"/>
        <w:keepNext w:val="0"/>
        <w:keepLines w:val="0"/>
        <w:pageBreakBefore w:val="0"/>
        <w:kinsoku/>
        <w:wordWrap/>
        <w:overflowPunct/>
        <w:bidi w:val="0"/>
        <w:adjustRightInd w:val="0"/>
        <w:snapToGrid w:val="0"/>
        <w:spacing w:after="0"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color w:val="auto"/>
          <w:kern w:val="0"/>
          <w:sz w:val="24"/>
          <w:highlight w:val="none"/>
        </w:rPr>
        <w:t>质保期限：</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rPr>
        <w:t>不少于</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的免费质保服务（包含所有零配件更换维修及软件系统维护升级更新等，原厂质保大于三年的，按原厂质保期实行）</w:t>
      </w:r>
      <w:r>
        <w:rPr>
          <w:rFonts w:hint="eastAsia" w:ascii="宋体" w:hAnsi="宋体" w:cs="宋体"/>
          <w:color w:val="auto"/>
          <w:sz w:val="24"/>
          <w:highlight w:val="none"/>
        </w:rPr>
        <w:t>，从验收合格之日起计算。</w:t>
      </w:r>
    </w:p>
    <w:p w14:paraId="420568FB">
      <w:pPr>
        <w:keepNext w:val="0"/>
        <w:keepLines w:val="0"/>
        <w:pageBreakBefore w:val="0"/>
        <w:kinsoku/>
        <w:wordWrap/>
        <w:overflowPunct/>
        <w:bidi w:val="0"/>
        <w:adjustRightInd w:val="0"/>
        <w:snapToGrid w:val="0"/>
        <w:spacing w:line="360" w:lineRule="auto"/>
        <w:textAlignment w:val="auto"/>
        <w:rPr>
          <w:rFonts w:hint="eastAsia" w:ascii="宋体" w:hAnsi="宋体" w:cs="宋体"/>
          <w:b/>
          <w:bCs/>
          <w:color w:val="auto"/>
          <w:sz w:val="24"/>
          <w:highlight w:val="none"/>
        </w:rPr>
      </w:pPr>
      <w:bookmarkStart w:id="9" w:name="_Toc28359003"/>
      <w:bookmarkStart w:id="10" w:name="_Toc35393791"/>
      <w:bookmarkStart w:id="11" w:name="_Toc28359080"/>
      <w:bookmarkStart w:id="12" w:name="_Toc35393622"/>
      <w:r>
        <w:rPr>
          <w:rFonts w:hint="eastAsia" w:ascii="宋体" w:hAnsi="宋体" w:cs="宋体"/>
          <w:b/>
          <w:bCs/>
          <w:color w:val="auto"/>
          <w:sz w:val="24"/>
          <w:highlight w:val="none"/>
        </w:rPr>
        <w:t>二、申请人的资格要求</w:t>
      </w:r>
      <w:bookmarkEnd w:id="9"/>
      <w:bookmarkEnd w:id="10"/>
      <w:bookmarkEnd w:id="11"/>
      <w:bookmarkEnd w:id="12"/>
    </w:p>
    <w:p w14:paraId="27E8B034">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jc w:val="left"/>
        <w:textAlignment w:val="auto"/>
        <w:outlineLvl w:val="9"/>
        <w:rPr>
          <w:rFonts w:hint="eastAsia" w:ascii="宋体" w:hAnsi="宋体" w:cs="宋体"/>
          <w:color w:val="auto"/>
          <w:sz w:val="24"/>
          <w:highlight w:val="none"/>
        </w:rPr>
      </w:pPr>
      <w:bookmarkStart w:id="13" w:name="_Toc35393623"/>
      <w:bookmarkStart w:id="14" w:name="_Toc35393792"/>
      <w:r>
        <w:rPr>
          <w:rFonts w:hint="eastAsia" w:ascii="宋体" w:hAnsi="宋体" w:cs="宋体"/>
          <w:color w:val="auto"/>
          <w:sz w:val="24"/>
          <w:highlight w:val="none"/>
        </w:rPr>
        <w:t>1投标人具</w:t>
      </w:r>
      <w:r>
        <w:rPr>
          <w:rFonts w:hint="eastAsia" w:ascii="宋体" w:hAnsi="宋体" w:eastAsia="宋体" w:cs="宋体"/>
          <w:color w:val="auto"/>
          <w:sz w:val="24"/>
          <w:highlight w:val="none"/>
        </w:rPr>
        <w:t>有</w:t>
      </w:r>
      <w:r>
        <w:rPr>
          <w:rFonts w:hint="eastAsia" w:ascii="宋体" w:hAnsi="宋体" w:eastAsia="宋体" w:cs="宋体"/>
          <w:color w:val="auto"/>
          <w:sz w:val="24"/>
          <w:highlight w:val="none"/>
          <w:lang w:val="en-US" w:eastAsia="zh-CN"/>
        </w:rPr>
        <w:t>独立承担民事责任的能力，</w:t>
      </w:r>
      <w:r>
        <w:rPr>
          <w:rFonts w:hint="eastAsia" w:ascii="宋体" w:hAnsi="宋体" w:cs="宋体"/>
          <w:color w:val="auto"/>
          <w:sz w:val="24"/>
          <w:highlight w:val="none"/>
        </w:rPr>
        <w:t>具</w:t>
      </w:r>
      <w:r>
        <w:rPr>
          <w:rFonts w:hint="eastAsia" w:ascii="宋体" w:hAnsi="宋体" w:eastAsia="宋体" w:cs="宋体"/>
          <w:color w:val="auto"/>
          <w:sz w:val="24"/>
          <w:highlight w:val="none"/>
        </w:rPr>
        <w:t>有</w:t>
      </w:r>
      <w:r>
        <w:rPr>
          <w:rFonts w:hint="eastAsia" w:ascii="宋体" w:hAnsi="宋体" w:cs="宋体"/>
          <w:color w:val="auto"/>
          <w:sz w:val="24"/>
          <w:highlight w:val="none"/>
        </w:rPr>
        <w:t>良好的商业信誉和健全的财务会计制度，具有履行合同所必需的设备和专业技术能力，</w:t>
      </w:r>
      <w:r>
        <w:rPr>
          <w:rFonts w:hint="eastAsia" w:ascii="宋体" w:hAnsi="宋体" w:cs="宋体"/>
          <w:color w:val="auto"/>
          <w:sz w:val="24"/>
          <w:highlight w:val="none"/>
          <w:lang w:val="en-US" w:eastAsia="zh-CN"/>
        </w:rPr>
        <w:t>具</w:t>
      </w:r>
      <w:r>
        <w:rPr>
          <w:rFonts w:hint="eastAsia" w:ascii="宋体" w:hAnsi="宋体" w:cs="宋体"/>
          <w:color w:val="auto"/>
          <w:sz w:val="24"/>
          <w:highlight w:val="none"/>
        </w:rPr>
        <w:t>有依法缴纳税收和社会保障资金的良好记录，参加本次采购活动前三年内，在经营活动中没有重大违法记录。</w:t>
      </w:r>
    </w:p>
    <w:p w14:paraId="27A54B70">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jc w:val="left"/>
        <w:textAlignment w:val="auto"/>
        <w:outlineLvl w:val="9"/>
        <w:rPr>
          <w:rFonts w:hint="eastAsia" w:ascii="宋体" w:hAnsi="宋体" w:cs="宋体"/>
          <w:color w:val="auto"/>
          <w:sz w:val="24"/>
          <w:szCs w:val="21"/>
          <w:highlight w:val="none"/>
          <w:u w:val="none"/>
          <w:lang w:val="en-US" w:eastAsia="zh-CN"/>
        </w:rPr>
      </w:pPr>
      <w:r>
        <w:rPr>
          <w:rFonts w:hint="eastAsia" w:ascii="宋体" w:hAnsi="宋体" w:eastAsia="宋体" w:cs="宋体"/>
          <w:color w:val="auto"/>
          <w:sz w:val="24"/>
          <w:highlight w:val="none"/>
          <w:lang w:val="en-US" w:eastAsia="zh-CN"/>
        </w:rPr>
        <w:t>1.2</w:t>
      </w:r>
      <w:r>
        <w:rPr>
          <w:rFonts w:hint="eastAsia" w:ascii="宋体" w:hAnsi="宋体" w:cs="宋体"/>
          <w:color w:val="auto"/>
          <w:sz w:val="24"/>
          <w:szCs w:val="21"/>
          <w:highlight w:val="none"/>
          <w:u w:val="none"/>
          <w:lang w:eastAsia="zh-CN"/>
        </w:rPr>
        <w:t>合法经营，具备有效的营业执照且有能力提供招标货物及相关服务的供应商；</w:t>
      </w:r>
    </w:p>
    <w:p w14:paraId="4075CAB8">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jc w:val="left"/>
        <w:textAlignment w:val="auto"/>
        <w:outlineLvl w:val="9"/>
        <w:rPr>
          <w:rFonts w:hint="eastAsia" w:ascii="宋体" w:hAnsi="宋体" w:cs="宋体"/>
          <w:color w:val="auto"/>
          <w:sz w:val="24"/>
          <w:szCs w:val="21"/>
          <w:highlight w:val="none"/>
          <w:u w:val="none"/>
          <w:lang w:val="en-US" w:eastAsia="zh-CN"/>
        </w:rPr>
      </w:pPr>
      <w:r>
        <w:rPr>
          <w:rFonts w:hint="eastAsia" w:ascii="宋体" w:hAnsi="宋体" w:eastAsia="宋体" w:cs="宋体"/>
          <w:color w:val="auto"/>
          <w:sz w:val="24"/>
          <w:highlight w:val="none"/>
          <w:lang w:val="en-US" w:eastAsia="zh-CN"/>
        </w:rPr>
        <w:t>1.3投</w:t>
      </w:r>
      <w:r>
        <w:rPr>
          <w:rFonts w:hint="eastAsia" w:ascii="宋体" w:hAnsi="宋体" w:cs="宋体"/>
          <w:color w:val="auto"/>
          <w:sz w:val="24"/>
          <w:szCs w:val="21"/>
          <w:highlight w:val="none"/>
          <w:u w:val="none"/>
          <w:lang w:val="en-US" w:eastAsia="zh-CN"/>
        </w:rPr>
        <w:t>标单位的投标产品应符合规定的相应技术、安全、专业性能等标准；投标产品必须符合国家相关技术规范；</w:t>
      </w:r>
    </w:p>
    <w:p w14:paraId="009EFDE2">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1.4</w:t>
      </w:r>
      <w:r>
        <w:rPr>
          <w:rFonts w:hint="eastAsia" w:ascii="宋体" w:hAnsi="宋体" w:cs="宋体"/>
          <w:color w:val="auto"/>
          <w:sz w:val="24"/>
          <w:szCs w:val="21"/>
          <w:u w:val="none"/>
          <w:lang w:val="en-US" w:eastAsia="zh-CN"/>
        </w:rPr>
        <w:t>拥有能够保障项目实施和服务的技术支持和售后服务能力；</w:t>
      </w:r>
      <w:r>
        <w:rPr>
          <w:rFonts w:hint="eastAsia" w:ascii="宋体" w:hAnsi="宋体" w:cs="宋体"/>
          <w:color w:val="auto"/>
          <w:sz w:val="24"/>
          <w:highlight w:val="none"/>
        </w:rPr>
        <w:t>投标时提供书面声明。</w:t>
      </w:r>
    </w:p>
    <w:p w14:paraId="2334D490">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2.本项目的特定资格要求：</w:t>
      </w:r>
    </w:p>
    <w:p w14:paraId="225F3208">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（1）投标人须为独立法人企业。投标时，投标文件中提供营业执照原件彩色扫描件。</w:t>
      </w:r>
    </w:p>
    <w:p w14:paraId="5E78FD24">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（2）如果授权委托代表参加投标的，必须出具经法定代表人签字或盖章的授权委托书，并须携带本人身份证。法定代表人参加投标的，只需提供身份证明。</w:t>
      </w:r>
    </w:p>
    <w:p w14:paraId="2E8A9EBC">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投标人未被全国法院失信被执行人名单信息公布与查询平台（http://zxgk.court.gov.cn/shixin/）列入失信被执行人，未被“信用中国”网站（www.creditchina.gov.cn）列入重大税收违法案件当事人名单、政府采购严重失信行为记录名单。</w:t>
      </w:r>
    </w:p>
    <w:p w14:paraId="0CAD425E">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（4）单位负责人为同一人或者存在直接控股、管理关系的不同供应商，不得同时参加同一项目的投标。</w:t>
      </w:r>
    </w:p>
    <w:p w14:paraId="18A5BCA5">
      <w:pPr>
        <w:pStyle w:val="9"/>
        <w:keepNext w:val="0"/>
        <w:keepLines w:val="0"/>
        <w:pageBreakBefore w:val="0"/>
        <w:kinsoku/>
        <w:wordWrap/>
        <w:overflowPunct/>
        <w:bidi w:val="0"/>
        <w:adjustRightInd w:val="0"/>
        <w:snapToGrid w:val="0"/>
        <w:spacing w:after="0" w:line="360" w:lineRule="auto"/>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（5）本项目不接受联合体。</w:t>
      </w:r>
    </w:p>
    <w:p w14:paraId="480952EA">
      <w:pPr>
        <w:keepNext w:val="0"/>
        <w:keepLines w:val="0"/>
        <w:pageBreakBefore w:val="0"/>
        <w:kinsoku/>
        <w:wordWrap/>
        <w:overflowPunct/>
        <w:bidi w:val="0"/>
        <w:adjustRightInd w:val="0"/>
        <w:snapToGrid w:val="0"/>
        <w:spacing w:line="360" w:lineRule="auto"/>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三、获取招标文件</w:t>
      </w:r>
      <w:bookmarkEnd w:id="13"/>
      <w:bookmarkEnd w:id="14"/>
    </w:p>
    <w:p w14:paraId="4938B8E3">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bookmarkStart w:id="15" w:name="_Toc28359005"/>
      <w:bookmarkStart w:id="16" w:name="_Toc28359082"/>
      <w:bookmarkStart w:id="17" w:name="_Toc35393624"/>
      <w:bookmarkStart w:id="18" w:name="_Toc35393793"/>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日至202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日</w:t>
      </w:r>
    </w:p>
    <w:p w14:paraId="5E7E08C7">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地点：响水县人民政府网（http://www.xiangshui.gov.cn/）</w:t>
      </w:r>
    </w:p>
    <w:p w14:paraId="6F541186">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方式：符合资格要求的投标人可自行登录“响水县人民政府网-招投标信息“国企采购-采购公告栏”下载招标文件</w:t>
      </w:r>
      <w:r>
        <w:rPr>
          <w:rFonts w:hint="eastAsia" w:ascii="宋体" w:hAnsi="宋体" w:cs="宋体"/>
          <w:sz w:val="24"/>
        </w:rPr>
        <w:t>，图纸</w:t>
      </w:r>
      <w:r>
        <w:rPr>
          <w:rFonts w:hint="eastAsia" w:ascii="宋体" w:hAnsi="宋体" w:cs="宋体"/>
          <w:sz w:val="24"/>
          <w:lang w:val="en-US" w:eastAsia="zh-CN"/>
        </w:rPr>
        <w:t>清单技术规范</w:t>
      </w:r>
      <w:r>
        <w:rPr>
          <w:rFonts w:hint="eastAsia" w:ascii="宋体" w:hAnsi="宋体" w:cs="宋体"/>
          <w:sz w:val="24"/>
        </w:rPr>
        <w:t xml:space="preserve">下载（链接: </w:t>
      </w:r>
      <w:r>
        <w:rPr>
          <w:rFonts w:hint="eastAsia" w:ascii="宋体" w:hAnsi="宋体" w:cs="宋体"/>
          <w:sz w:val="24"/>
        </w:rPr>
        <w:fldChar w:fldCharType="begin"/>
      </w:r>
      <w:r>
        <w:rPr>
          <w:rFonts w:hint="eastAsia" w:ascii="宋体" w:hAnsi="宋体" w:cs="宋体"/>
          <w:sz w:val="24"/>
        </w:rPr>
        <w:instrText xml:space="preserve"> HYPERLINK "https://pan.baidu.com/s/1T2ao47uBzhKpQMTQdolqgQ?pwd=1234" </w:instrText>
      </w:r>
      <w:r>
        <w:rPr>
          <w:rFonts w:hint="eastAsia" w:ascii="宋体" w:hAnsi="宋体" w:cs="宋体"/>
          <w:sz w:val="24"/>
        </w:rPr>
        <w:fldChar w:fldCharType="separate"/>
      </w:r>
      <w:r>
        <w:rPr>
          <w:rStyle w:val="31"/>
          <w:rFonts w:hint="eastAsia" w:ascii="宋体" w:hAnsi="宋体" w:cs="宋体"/>
          <w:sz w:val="24"/>
        </w:rPr>
        <w:t>https://pan.baidu.com/s/1T2ao47uBzhKpQMTQdolqgQ?pwd=1234</w:t>
      </w:r>
      <w:r>
        <w:rPr>
          <w:rFonts w:hint="eastAsia" w:ascii="宋体" w:hAnsi="宋体" w:cs="宋体"/>
          <w:sz w:val="24"/>
        </w:rPr>
        <w:fldChar w:fldCharType="end"/>
      </w:r>
      <w:r>
        <w:rPr>
          <w:rFonts w:hint="eastAsia" w:ascii="宋体" w:hAnsi="宋体" w:cs="宋体"/>
          <w:sz w:val="24"/>
          <w:lang w:val="en-US" w:eastAsia="zh-CN"/>
        </w:rPr>
        <w:t xml:space="preserve">  </w:t>
      </w:r>
      <w:r>
        <w:rPr>
          <w:rFonts w:hint="eastAsia" w:ascii="宋体" w:hAnsi="宋体" w:cs="宋体"/>
          <w:sz w:val="24"/>
        </w:rPr>
        <w:t>提取码: 1234）</w:t>
      </w:r>
      <w:r>
        <w:rPr>
          <w:rFonts w:hint="eastAsia" w:ascii="宋体" w:hAnsi="宋体" w:cs="宋体"/>
          <w:color w:val="auto"/>
          <w:sz w:val="24"/>
          <w:highlight w:val="none"/>
        </w:rPr>
        <w:t>。</w:t>
      </w:r>
    </w:p>
    <w:p w14:paraId="7C8AC72F">
      <w:pPr>
        <w:keepNext w:val="0"/>
        <w:keepLines w:val="0"/>
        <w:pageBreakBefore w:val="0"/>
        <w:kinsoku/>
        <w:wordWrap/>
        <w:overflowPunct/>
        <w:bidi w:val="0"/>
        <w:adjustRightInd w:val="0"/>
        <w:snapToGrid w:val="0"/>
        <w:spacing w:line="360" w:lineRule="auto"/>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四、提交投标文件</w:t>
      </w:r>
      <w:bookmarkEnd w:id="15"/>
      <w:bookmarkEnd w:id="16"/>
      <w:r>
        <w:rPr>
          <w:rFonts w:hint="eastAsia" w:ascii="宋体" w:hAnsi="宋体" w:cs="宋体"/>
          <w:b/>
          <w:bCs/>
          <w:color w:val="auto"/>
          <w:sz w:val="24"/>
          <w:highlight w:val="none"/>
        </w:rPr>
        <w:t>截止时间、开标时间和地点</w:t>
      </w:r>
      <w:bookmarkEnd w:id="17"/>
      <w:bookmarkEnd w:id="18"/>
    </w:p>
    <w:p w14:paraId="58A8A01A">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提交投标文件截止时间：202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16</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点00分（北京时间）</w:t>
      </w:r>
    </w:p>
    <w:p w14:paraId="6AA5B4E4">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bookmarkStart w:id="19" w:name="_Toc28359007"/>
      <w:bookmarkStart w:id="20" w:name="_Toc28359084"/>
      <w:bookmarkStart w:id="21" w:name="_Toc35393625"/>
      <w:bookmarkStart w:id="22" w:name="_Toc35393794"/>
      <w:r>
        <w:rPr>
          <w:rFonts w:hint="eastAsia" w:ascii="宋体" w:hAnsi="宋体" w:cs="宋体"/>
          <w:color w:val="auto"/>
          <w:sz w:val="24"/>
          <w:highlight w:val="none"/>
        </w:rPr>
        <w:t>开标时间：</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16</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点00分（北京时间）</w:t>
      </w:r>
    </w:p>
    <w:p w14:paraId="598B7F85">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投标地点：上传加密的投标文件至采购人指定邮箱：</w:t>
      </w:r>
      <w:r>
        <w:rPr>
          <w:rFonts w:hint="eastAsia" w:ascii="宋体" w:hAnsi="宋体" w:cs="宋体"/>
          <w:b/>
          <w:bCs/>
          <w:color w:val="auto"/>
          <w:sz w:val="24"/>
          <w:highlight w:val="none"/>
          <w:lang w:eastAsia="zh-CN"/>
        </w:rPr>
        <w:t>1151574641@qq.com</w:t>
      </w:r>
      <w:r>
        <w:rPr>
          <w:rFonts w:hint="eastAsia" w:ascii="宋体" w:hAnsi="宋体" w:cs="宋体"/>
          <w:color w:val="auto"/>
          <w:sz w:val="24"/>
          <w:highlight w:val="none"/>
        </w:rPr>
        <w:t>。</w:t>
      </w:r>
    </w:p>
    <w:p w14:paraId="796BCBAB">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开标地点：网上开标，腾讯会议号</w:t>
      </w:r>
      <w:r>
        <w:rPr>
          <w:rFonts w:hint="eastAsia" w:ascii="宋体" w:hAnsi="宋体" w:cs="宋体"/>
          <w:color w:val="auto"/>
          <w:sz w:val="24"/>
          <w:highlight w:val="none"/>
          <w:lang w:val="en-US" w:eastAsia="zh-CN"/>
        </w:rPr>
        <w:t>:</w:t>
      </w:r>
      <w:r>
        <w:rPr>
          <w:rFonts w:hint="eastAsia" w:ascii="宋体" w:hAnsi="宋体" w:cs="宋体"/>
          <w:b/>
          <w:bCs/>
          <w:color w:val="auto"/>
          <w:sz w:val="24"/>
          <w:highlight w:val="none"/>
          <w:lang w:val="en-US" w:eastAsia="zh-CN"/>
        </w:rPr>
        <w:t>946-763-462</w:t>
      </w:r>
      <w:r>
        <w:rPr>
          <w:rFonts w:hint="eastAsia" w:ascii="宋体" w:hAnsi="宋体" w:cs="宋体"/>
          <w:color w:val="auto"/>
          <w:sz w:val="24"/>
          <w:highlight w:val="none"/>
        </w:rPr>
        <w:t>。</w:t>
      </w:r>
    </w:p>
    <w:p w14:paraId="155268DE">
      <w:pPr>
        <w:pStyle w:val="41"/>
        <w:keepNext w:val="0"/>
        <w:keepLines w:val="0"/>
        <w:pageBreakBefore w:val="0"/>
        <w:kinsoku/>
        <w:wordWrap/>
        <w:overflowPunct/>
        <w:bidi w:val="0"/>
        <w:adjustRightInd w:val="0"/>
        <w:snapToGrid w:val="0"/>
        <w:spacing w:line="360" w:lineRule="auto"/>
        <w:textAlignment w:val="auto"/>
        <w:rPr>
          <w:rFonts w:hint="eastAsia" w:eastAsia="宋体"/>
          <w:b/>
          <w:bCs/>
          <w:color w:val="auto"/>
          <w:kern w:val="2"/>
          <w:highlight w:val="none"/>
        </w:rPr>
      </w:pPr>
      <w:r>
        <w:rPr>
          <w:rFonts w:hint="eastAsia" w:eastAsia="宋体"/>
          <w:b/>
          <w:bCs/>
          <w:color w:val="auto"/>
          <w:kern w:val="2"/>
          <w:highlight w:val="none"/>
        </w:rPr>
        <w:t>五、公告期限</w:t>
      </w:r>
      <w:bookmarkEnd w:id="19"/>
      <w:bookmarkEnd w:id="20"/>
      <w:bookmarkEnd w:id="21"/>
      <w:bookmarkEnd w:id="22"/>
    </w:p>
    <w:p w14:paraId="567F22FE">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00F38569">
      <w:pPr>
        <w:keepNext w:val="0"/>
        <w:keepLines w:val="0"/>
        <w:pageBreakBefore w:val="0"/>
        <w:kinsoku/>
        <w:wordWrap/>
        <w:overflowPunct/>
        <w:bidi w:val="0"/>
        <w:adjustRightInd w:val="0"/>
        <w:snapToGrid w:val="0"/>
        <w:spacing w:line="360" w:lineRule="auto"/>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六、投标保证金及履约保证金</w:t>
      </w:r>
    </w:p>
    <w:p w14:paraId="0903CD8F">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1、本项目不收取投标保证金。</w:t>
      </w:r>
    </w:p>
    <w:p w14:paraId="4C53CCE1">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2、履约保证金：履约保证金缴纳方式：现金、履约担保或者投标人基本账户开户行出具的保函、保险公司保险单，具体形式由投标人自主选择。</w:t>
      </w:r>
    </w:p>
    <w:p w14:paraId="36627660">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履约保证金的金额：中标价的5%</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投标人在收到中标通知书后，须在7日内向采购人足额提交履约保证金，否则采购人可以取消其中标资格。</w:t>
      </w:r>
    </w:p>
    <w:p w14:paraId="372C8F78">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2.1.采购人接受乙方从基本账户缴纳的现金或银行保函中任何一种形式的履约保证金。具体形式由乙方自主选择。</w:t>
      </w:r>
    </w:p>
    <w:p w14:paraId="6E73B398">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2.2.本项目接受乙方提供的从基本账户缴纳的担保机构保函、保险机构保单等非现金交易担保方式。如采用电汇或转账方式缴纳的，须从乙方本单位的基本账户上直接转(汇)至采购人指定账户：</w:t>
      </w:r>
    </w:p>
    <w:p w14:paraId="2C2EE1BA">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单位名称：</w:t>
      </w:r>
      <w:r>
        <w:rPr>
          <w:rFonts w:hint="eastAsia" w:ascii="宋体" w:hAnsi="宋体" w:cs="宋体"/>
          <w:bCs/>
          <w:color w:val="auto"/>
          <w:sz w:val="24"/>
          <w:highlight w:val="none"/>
          <w:lang w:eastAsia="zh-CN"/>
        </w:rPr>
        <w:t>响水县汇响水务发展有限公司</w:t>
      </w:r>
    </w:p>
    <w:p w14:paraId="06A55CD1">
      <w:pPr>
        <w:keepNext w:val="0"/>
        <w:keepLines w:val="0"/>
        <w:pageBreakBefore w:val="0"/>
        <w:kinsoku/>
        <w:wordWrap/>
        <w:overflowPunct/>
        <w:bidi w:val="0"/>
        <w:adjustRightInd w:val="0"/>
        <w:snapToGrid w:val="0"/>
        <w:spacing w:line="360" w:lineRule="auto"/>
        <w:ind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开户银行：江苏银行响水支行</w:t>
      </w:r>
      <w:r>
        <w:rPr>
          <w:rFonts w:hint="eastAsia" w:ascii="宋体" w:hAnsi="宋体" w:cs="宋体"/>
          <w:bCs/>
          <w:color w:val="auto"/>
          <w:sz w:val="24"/>
          <w:highlight w:val="none"/>
          <w:lang w:val="en-US" w:eastAsia="zh-CN"/>
        </w:rPr>
        <w:t xml:space="preserve">    </w:t>
      </w:r>
    </w:p>
    <w:p w14:paraId="6B38613E">
      <w:pPr>
        <w:keepNext w:val="0"/>
        <w:keepLines w:val="0"/>
        <w:pageBreakBefore w:val="0"/>
        <w:kinsoku/>
        <w:wordWrap/>
        <w:overflowPunct/>
        <w:bidi w:val="0"/>
        <w:adjustRightInd w:val="0"/>
        <w:snapToGrid w:val="0"/>
        <w:spacing w:line="360" w:lineRule="auto"/>
        <w:ind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账号：12430188000202253</w:t>
      </w:r>
      <w:r>
        <w:rPr>
          <w:rFonts w:hint="eastAsia" w:ascii="宋体" w:hAnsi="宋体" w:cs="宋体"/>
          <w:bCs/>
          <w:color w:val="auto"/>
          <w:sz w:val="24"/>
          <w:highlight w:val="none"/>
          <w:lang w:val="en-US" w:eastAsia="zh-CN"/>
        </w:rPr>
        <w:t xml:space="preserve">    </w:t>
      </w:r>
    </w:p>
    <w:p w14:paraId="1880F9AA">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履约保证金在项目货物安装、调试结束并经验收合格后一次性退还（无息）。如果未能按合同、招标投标文件履约的，</w:t>
      </w:r>
      <w:r>
        <w:rPr>
          <w:rFonts w:hint="eastAsia" w:ascii="宋体" w:hAnsi="宋体" w:cs="宋体"/>
          <w:bCs/>
          <w:color w:val="auto"/>
          <w:sz w:val="24"/>
          <w:highlight w:val="none"/>
          <w:lang w:val="en-US" w:eastAsia="zh-CN"/>
        </w:rPr>
        <w:t>终</w:t>
      </w:r>
      <w:r>
        <w:rPr>
          <w:rFonts w:hint="eastAsia" w:ascii="宋体" w:hAnsi="宋体" w:cs="宋体"/>
          <w:bCs/>
          <w:color w:val="auto"/>
          <w:sz w:val="24"/>
          <w:highlight w:val="none"/>
        </w:rPr>
        <w:t>止合同，履约保证金不予退还。</w:t>
      </w:r>
    </w:p>
    <w:p w14:paraId="42BEEE21">
      <w:pPr>
        <w:keepNext w:val="0"/>
        <w:keepLines w:val="0"/>
        <w:pageBreakBefore w:val="0"/>
        <w:kinsoku/>
        <w:wordWrap/>
        <w:overflowPunct/>
        <w:bidi w:val="0"/>
        <w:adjustRightInd w:val="0"/>
        <w:snapToGrid w:val="0"/>
        <w:spacing w:line="360" w:lineRule="auto"/>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七、其他补充事宜</w:t>
      </w:r>
    </w:p>
    <w:p w14:paraId="444F06FC">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1.评标办法：综合评分法。</w:t>
      </w:r>
    </w:p>
    <w:p w14:paraId="28A45606">
      <w:pPr>
        <w:keepNext w:val="0"/>
        <w:keepLines w:val="0"/>
        <w:pageBreakBefore w:val="0"/>
        <w:kinsoku/>
        <w:wordWrap/>
        <w:overflowPunct/>
        <w:autoSpaceDN w:val="0"/>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bookmarkStart w:id="23" w:name="OLE_LINK7"/>
      <w:r>
        <w:rPr>
          <w:rFonts w:hint="eastAsia" w:ascii="宋体" w:hAnsi="宋体" w:eastAsia="宋体" w:cs="宋体"/>
          <w:color w:val="auto"/>
          <w:sz w:val="24"/>
          <w:highlight w:val="none"/>
          <w:lang w:val="en-US" w:eastAsia="zh-CN"/>
        </w:rPr>
        <w:t>2.付款方式：</w:t>
      </w:r>
      <w:r>
        <w:rPr>
          <w:rFonts w:hint="eastAsia" w:ascii="宋体" w:hAnsi="宋体" w:cs="宋体"/>
          <w:color w:val="auto"/>
          <w:sz w:val="24"/>
          <w:highlight w:val="none"/>
          <w:lang w:val="en-US" w:eastAsia="zh-CN"/>
        </w:rPr>
        <w:t>所有设备到场、经验收合格并调试完成后一个月内，付至合同总价的50%，审计结束六个月内且设备、软件运行正常付至审定价的90%，剩余10%（含质保金）待质保期满后（按单一设备最长质保期计算）一次性付清</w:t>
      </w:r>
      <w:r>
        <w:rPr>
          <w:rFonts w:hint="eastAsia" w:ascii="宋体" w:hAnsi="宋体" w:eastAsia="宋体" w:cs="宋体"/>
          <w:color w:val="auto"/>
          <w:sz w:val="24"/>
          <w:highlight w:val="none"/>
          <w:lang w:val="en-US" w:eastAsia="zh-CN"/>
        </w:rPr>
        <w:t xml:space="preserve">。 </w:t>
      </w:r>
    </w:p>
    <w:bookmarkEnd w:id="23"/>
    <w:p w14:paraId="61AA26B3">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根据《国务院办公厅转发国家发展改革委关于深化公共资源交易平台整合共享指导意见的通知》（国办函〔2019〕41号）、国家发改委发布《关于积极应对疫情创新做好招投标工作保障经济平稳运行的通知》等文件精神，全面逐步推行不见面投标开标等招投标活动。本项目开标方式为不见面开标，开标当日，投标人无需到达开标现场，仅需在任意地点通过PC端或移动端的“腾讯会议”及相应的配套硬件设备参加开标会议。如因视频设备问题造成无法核实身份的，作无效标处理，参加开标会议的方法详见招标文件。</w:t>
      </w:r>
    </w:p>
    <w:p w14:paraId="2A585CEC">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4.各投标人在投标截止时间前应当每天都在响水县人民政府网上查询，以便获取更新的澄清、修改、补充内容。凡涉及到该项目的补充说明和修改，均以响水人民政府网上的更正或补充通知为准。</w:t>
      </w:r>
    </w:p>
    <w:p w14:paraId="4AFF650A">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5.本项目为不见面交易项目，投标人通过“腾讯视频会议”直播APP加入会议。</w:t>
      </w:r>
    </w:p>
    <w:p w14:paraId="731B5E0E">
      <w:pPr>
        <w:keepNext w:val="0"/>
        <w:keepLines w:val="0"/>
        <w:pageBreakBefore w:val="0"/>
        <w:kinsoku/>
        <w:wordWrap/>
        <w:overflowPunct/>
        <w:bidi w:val="0"/>
        <w:adjustRightInd w:val="0"/>
        <w:snapToGrid w:val="0"/>
        <w:spacing w:line="360" w:lineRule="auto"/>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八、对本次招标提出询问，请按以下方式联系。</w:t>
      </w:r>
    </w:p>
    <w:p w14:paraId="6DDF39EB">
      <w:pPr>
        <w:keepNext w:val="0"/>
        <w:keepLines w:val="0"/>
        <w:pageBreakBefore w:val="0"/>
        <w:widowControl/>
        <w:tabs>
          <w:tab w:val="left" w:pos="900"/>
        </w:tabs>
        <w:kinsoku/>
        <w:wordWrap/>
        <w:overflowPunct/>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1.采购人信息</w:t>
      </w:r>
    </w:p>
    <w:p w14:paraId="310FA807">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响水县汇响水务发展有限公司</w:t>
      </w:r>
    </w:p>
    <w:p w14:paraId="35C8EF09">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地址：响水县规划路金色家园1号 </w:t>
      </w:r>
    </w:p>
    <w:p w14:paraId="44614AA9">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联系人：姚女士</w:t>
      </w:r>
    </w:p>
    <w:p w14:paraId="08A8AD54">
      <w:pPr>
        <w:keepNext w:val="0"/>
        <w:keepLines w:val="0"/>
        <w:pageBreakBefore w:val="0"/>
        <w:widowControl/>
        <w:tabs>
          <w:tab w:val="left" w:pos="900"/>
        </w:tabs>
        <w:kinsoku/>
        <w:wordWrap/>
        <w:overflow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电话：18762507227 </w:t>
      </w:r>
    </w:p>
    <w:p w14:paraId="4354384E">
      <w:pPr>
        <w:keepNext w:val="0"/>
        <w:keepLines w:val="0"/>
        <w:pageBreakBefore w:val="0"/>
        <w:widowControl/>
        <w:tabs>
          <w:tab w:val="left" w:pos="900"/>
        </w:tabs>
        <w:kinsoku/>
        <w:wordWrap/>
        <w:overflowPunct/>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2.采购代理机构信息</w:t>
      </w:r>
    </w:p>
    <w:p w14:paraId="53D37AB0">
      <w:pPr>
        <w:pStyle w:val="54"/>
        <w:keepNext w:val="0"/>
        <w:keepLines w:val="0"/>
        <w:pageBreakBefore w:val="0"/>
        <w:kinsoku/>
        <w:wordWrap/>
        <w:overflowPunct/>
        <w:topLinePunct/>
        <w:bidi w:val="0"/>
        <w:adjustRightInd w:val="0"/>
        <w:snapToGrid w:val="0"/>
        <w:spacing w:line="360" w:lineRule="auto"/>
        <w:ind w:firstLine="480" w:firstLineChars="200"/>
        <w:textAlignment w:val="auto"/>
        <w:rPr>
          <w:rStyle w:val="67"/>
          <w:rFonts w:hint="eastAsia" w:ascii="宋体" w:hAnsi="宋体" w:cs="宋体"/>
          <w:color w:val="auto"/>
          <w:sz w:val="24"/>
          <w:szCs w:val="24"/>
          <w:highlight w:val="none"/>
          <w:lang w:val="zh-TW"/>
        </w:rPr>
      </w:pPr>
      <w:r>
        <w:rPr>
          <w:rStyle w:val="67"/>
          <w:rFonts w:ascii="宋体" w:hAnsi="宋体" w:cs="宋体"/>
          <w:color w:val="auto"/>
          <w:sz w:val="24"/>
          <w:szCs w:val="24"/>
          <w:highlight w:val="none"/>
          <w:lang w:val="zh-TW"/>
        </w:rPr>
        <w:t>名</w:t>
      </w:r>
      <w:r>
        <w:rPr>
          <w:rStyle w:val="67"/>
          <w:rFonts w:hint="eastAsia" w:ascii="宋体" w:hAnsi="宋体" w:cs="宋体"/>
          <w:color w:val="auto"/>
          <w:sz w:val="24"/>
          <w:szCs w:val="24"/>
          <w:highlight w:val="none"/>
          <w:lang w:val="en-US" w:eastAsia="zh-CN"/>
        </w:rPr>
        <w:t xml:space="preserve"> </w:t>
      </w:r>
      <w:r>
        <w:rPr>
          <w:rStyle w:val="67"/>
          <w:rFonts w:ascii="宋体" w:hAnsi="宋体" w:cs="宋体"/>
          <w:color w:val="auto"/>
          <w:sz w:val="24"/>
          <w:szCs w:val="24"/>
          <w:highlight w:val="none"/>
          <w:lang w:val="zh-TW"/>
        </w:rPr>
        <w:t xml:space="preserve"> 称：</w:t>
      </w:r>
      <w:r>
        <w:rPr>
          <w:rStyle w:val="67"/>
          <w:rFonts w:hint="eastAsia" w:ascii="宋体" w:hAnsi="宋体" w:cs="宋体"/>
          <w:color w:val="auto"/>
          <w:sz w:val="24"/>
          <w:szCs w:val="24"/>
          <w:highlight w:val="none"/>
          <w:lang w:val="zh-TW" w:eastAsia="zh-CN"/>
        </w:rPr>
        <w:t>江苏顺风帆项目管理有限公司</w:t>
      </w:r>
      <w:r>
        <w:rPr>
          <w:rStyle w:val="67"/>
          <w:rFonts w:hint="eastAsia" w:ascii="宋体" w:hAnsi="宋体" w:cs="宋体"/>
          <w:color w:val="auto"/>
          <w:sz w:val="24"/>
          <w:szCs w:val="24"/>
          <w:highlight w:val="none"/>
          <w:lang w:val="zh-TW"/>
        </w:rPr>
        <w:t xml:space="preserve"> </w:t>
      </w:r>
    </w:p>
    <w:p w14:paraId="41D9016A">
      <w:pPr>
        <w:pStyle w:val="54"/>
        <w:keepNext w:val="0"/>
        <w:keepLines w:val="0"/>
        <w:pageBreakBefore w:val="0"/>
        <w:kinsoku/>
        <w:wordWrap/>
        <w:overflowPunct/>
        <w:topLinePunct/>
        <w:bidi w:val="0"/>
        <w:adjustRightInd w:val="0"/>
        <w:snapToGrid w:val="0"/>
        <w:spacing w:line="360" w:lineRule="auto"/>
        <w:ind w:firstLine="480"/>
        <w:textAlignment w:val="auto"/>
        <w:rPr>
          <w:rStyle w:val="67"/>
          <w:rFonts w:hint="eastAsia" w:ascii="宋体" w:hAnsi="宋体" w:eastAsia="宋体" w:cs="宋体"/>
          <w:color w:val="auto"/>
          <w:sz w:val="24"/>
          <w:szCs w:val="24"/>
          <w:highlight w:val="none"/>
          <w:lang w:val="zh-TW" w:eastAsia="zh-CN"/>
        </w:rPr>
      </w:pPr>
      <w:r>
        <w:rPr>
          <w:rStyle w:val="67"/>
          <w:rFonts w:hint="eastAsia" w:ascii="宋体" w:hAnsi="宋体" w:cs="宋体"/>
          <w:color w:val="auto"/>
          <w:sz w:val="24"/>
          <w:szCs w:val="24"/>
          <w:highlight w:val="none"/>
          <w:lang w:val="zh-TW"/>
        </w:rPr>
        <w:t>地　址：</w:t>
      </w:r>
      <w:r>
        <w:rPr>
          <w:rStyle w:val="67"/>
          <w:rFonts w:hint="eastAsia" w:ascii="宋体" w:hAnsi="宋体" w:cs="宋体"/>
          <w:color w:val="auto"/>
          <w:sz w:val="24"/>
          <w:szCs w:val="24"/>
          <w:highlight w:val="none"/>
          <w:lang w:val="en-US" w:eastAsia="zh-CN"/>
        </w:rPr>
        <w:t>盐城市世纪大道5号金融城4号</w:t>
      </w:r>
      <w:r>
        <w:rPr>
          <w:rStyle w:val="67"/>
          <w:rFonts w:hint="eastAsia" w:ascii="宋体" w:hAnsi="宋体" w:cs="宋体"/>
          <w:color w:val="auto"/>
          <w:sz w:val="24"/>
          <w:szCs w:val="24"/>
          <w:highlight w:val="none"/>
          <w:lang w:val="zh-TW" w:eastAsia="zh-CN"/>
        </w:rPr>
        <w:t xml:space="preserve"> </w:t>
      </w:r>
    </w:p>
    <w:p w14:paraId="793668C3">
      <w:pPr>
        <w:pStyle w:val="54"/>
        <w:keepNext w:val="0"/>
        <w:keepLines w:val="0"/>
        <w:pageBreakBefore w:val="0"/>
        <w:kinsoku/>
        <w:wordWrap/>
        <w:overflowPunct/>
        <w:topLinePunct/>
        <w:bidi w:val="0"/>
        <w:adjustRightInd w:val="0"/>
        <w:snapToGrid w:val="0"/>
        <w:spacing w:line="360" w:lineRule="auto"/>
        <w:ind w:firstLine="480"/>
        <w:textAlignment w:val="auto"/>
        <w:rPr>
          <w:rStyle w:val="67"/>
          <w:rFonts w:hint="eastAsia" w:ascii="宋体" w:hAnsi="宋体" w:cs="宋体"/>
          <w:color w:val="auto"/>
          <w:sz w:val="24"/>
          <w:szCs w:val="24"/>
          <w:highlight w:val="none"/>
          <w:lang w:val="zh-TW"/>
        </w:rPr>
      </w:pPr>
      <w:r>
        <w:rPr>
          <w:rStyle w:val="67"/>
          <w:rFonts w:hint="eastAsia" w:ascii="宋体" w:hAnsi="宋体" w:cs="宋体"/>
          <w:color w:val="auto"/>
          <w:sz w:val="24"/>
          <w:szCs w:val="24"/>
          <w:highlight w:val="none"/>
          <w:lang w:val="zh-TW"/>
        </w:rPr>
        <w:t>联系方式：</w:t>
      </w:r>
      <w:r>
        <w:rPr>
          <w:rStyle w:val="67"/>
          <w:rFonts w:hint="eastAsia" w:ascii="宋体" w:hAnsi="宋体" w:cs="宋体"/>
          <w:color w:val="auto"/>
          <w:sz w:val="24"/>
          <w:szCs w:val="24"/>
          <w:highlight w:val="none"/>
          <w:lang w:val="zh-TW" w:eastAsia="zh-CN"/>
        </w:rPr>
        <w:t>王先生</w:t>
      </w:r>
      <w:r>
        <w:rPr>
          <w:rStyle w:val="67"/>
          <w:rFonts w:hint="eastAsia" w:ascii="宋体" w:hAnsi="宋体" w:cs="宋体"/>
          <w:color w:val="auto"/>
          <w:sz w:val="24"/>
          <w:szCs w:val="24"/>
          <w:highlight w:val="none"/>
          <w:lang w:val="zh-TW"/>
        </w:rPr>
        <w:t xml:space="preserve">  </w:t>
      </w:r>
    </w:p>
    <w:p w14:paraId="15FD42AC">
      <w:pPr>
        <w:pStyle w:val="54"/>
        <w:keepNext w:val="0"/>
        <w:keepLines w:val="0"/>
        <w:pageBreakBefore w:val="0"/>
        <w:kinsoku/>
        <w:wordWrap/>
        <w:overflowPunct/>
        <w:topLinePunct/>
        <w:bidi w:val="0"/>
        <w:adjustRightInd w:val="0"/>
        <w:snapToGrid w:val="0"/>
        <w:spacing w:line="360" w:lineRule="auto"/>
        <w:ind w:firstLine="480"/>
        <w:textAlignment w:val="auto"/>
        <w:rPr>
          <w:rStyle w:val="67"/>
          <w:rFonts w:hint="eastAsia" w:ascii="宋体" w:hAnsi="宋体" w:cs="宋体"/>
          <w:color w:val="auto"/>
          <w:sz w:val="24"/>
          <w:szCs w:val="24"/>
          <w:highlight w:val="none"/>
          <w:lang w:val="en-US" w:eastAsia="zh-CN"/>
        </w:rPr>
      </w:pPr>
      <w:r>
        <w:rPr>
          <w:rStyle w:val="67"/>
          <w:rFonts w:hint="eastAsia" w:ascii="宋体" w:hAnsi="宋体" w:cs="宋体"/>
          <w:color w:val="auto"/>
          <w:sz w:val="24"/>
          <w:szCs w:val="24"/>
          <w:highlight w:val="none"/>
          <w:lang w:val="en-US" w:eastAsia="zh-CN"/>
        </w:rPr>
        <w:t>电话：13851092607</w:t>
      </w:r>
    </w:p>
    <w:p w14:paraId="579F80D1">
      <w:pPr>
        <w:pStyle w:val="54"/>
        <w:keepNext w:val="0"/>
        <w:keepLines w:val="0"/>
        <w:pageBreakBefore w:val="0"/>
        <w:kinsoku/>
        <w:wordWrap/>
        <w:overflowPunct/>
        <w:topLinePunct/>
        <w:bidi w:val="0"/>
        <w:adjustRightInd w:val="0"/>
        <w:snapToGrid w:val="0"/>
        <w:spacing w:line="360" w:lineRule="auto"/>
        <w:ind w:firstLine="480"/>
        <w:textAlignment w:val="auto"/>
        <w:rPr>
          <w:rFonts w:hint="eastAsia" w:ascii="宋体" w:hAnsi="宋体" w:eastAsia="宋体" w:cs="宋体"/>
          <w:b/>
          <w:bCs/>
          <w:color w:val="auto"/>
          <w:kern w:val="2"/>
          <w:sz w:val="24"/>
          <w:szCs w:val="24"/>
          <w:highlight w:val="none"/>
          <w:lang w:val="en-US" w:eastAsia="zh-CN" w:bidi="ar-SA"/>
        </w:rPr>
      </w:pPr>
      <w:bookmarkStart w:id="237" w:name="_GoBack"/>
      <w:bookmarkEnd w:id="237"/>
      <w:r>
        <w:rPr>
          <w:rFonts w:hint="eastAsia" w:ascii="宋体" w:hAnsi="宋体" w:eastAsia="宋体" w:cs="宋体"/>
          <w:b/>
          <w:bCs/>
          <w:color w:val="auto"/>
          <w:kern w:val="2"/>
          <w:sz w:val="24"/>
          <w:szCs w:val="24"/>
          <w:highlight w:val="none"/>
          <w:lang w:val="en-US" w:eastAsia="zh-CN" w:bidi="ar-SA"/>
        </w:rPr>
        <w:t>3.项目联系方式</w:t>
      </w:r>
    </w:p>
    <w:p w14:paraId="27F76C07">
      <w:pPr>
        <w:pStyle w:val="54"/>
        <w:keepNext w:val="0"/>
        <w:keepLines w:val="0"/>
        <w:pageBreakBefore w:val="0"/>
        <w:kinsoku/>
        <w:wordWrap/>
        <w:overflowPunct/>
        <w:topLinePunct/>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联系人：姚女士</w:t>
      </w:r>
    </w:p>
    <w:p w14:paraId="162C5AD5">
      <w:pPr>
        <w:pStyle w:val="54"/>
        <w:keepNext w:val="0"/>
        <w:keepLines w:val="0"/>
        <w:pageBreakBefore w:val="0"/>
        <w:kinsoku/>
        <w:wordWrap/>
        <w:overflowPunct/>
        <w:topLinePunct/>
        <w:bidi w:val="0"/>
        <w:adjustRightInd w:val="0"/>
        <w:snapToGrid w:val="0"/>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电话：18762507227 </w:t>
      </w:r>
      <w:r>
        <w:rPr>
          <w:rFonts w:hint="eastAsia" w:ascii="宋体" w:hAnsi="宋体" w:cs="宋体"/>
          <w:color w:val="auto"/>
          <w:sz w:val="24"/>
          <w:highlight w:val="none"/>
          <w:lang w:val="en-US" w:eastAsia="zh-CN"/>
        </w:rPr>
        <w:t xml:space="preserve">  </w:t>
      </w:r>
    </w:p>
    <w:p w14:paraId="72AA879D">
      <w:pPr>
        <w:pStyle w:val="54"/>
        <w:keepNext w:val="0"/>
        <w:keepLines w:val="0"/>
        <w:pageBreakBefore w:val="0"/>
        <w:kinsoku/>
        <w:wordWrap/>
        <w:overflowPunct/>
        <w:topLinePunct/>
        <w:bidi w:val="0"/>
        <w:adjustRightInd w:val="0"/>
        <w:snapToGrid w:val="0"/>
        <w:spacing w:line="360" w:lineRule="auto"/>
        <w:textAlignment w:val="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质疑和投诉处理</w:t>
      </w:r>
    </w:p>
    <w:p w14:paraId="06955B22">
      <w:pPr>
        <w:pStyle w:val="54"/>
        <w:keepNext w:val="0"/>
        <w:keepLines w:val="0"/>
        <w:pageBreakBefore w:val="0"/>
        <w:kinsoku/>
        <w:wordWrap/>
        <w:overflowPunct/>
        <w:topLinePunct/>
        <w:bidi w:val="0"/>
        <w:adjustRightInd w:val="0"/>
        <w:snapToGrid w:val="0"/>
        <w:spacing w:line="360" w:lineRule="auto"/>
        <w:ind w:firstLine="480" w:firstLineChars="200"/>
        <w:textAlignment w:val="auto"/>
        <w:rPr>
          <w:rFonts w:hint="eastAsia" w:eastAsia="宋体"/>
          <w:color w:val="auto"/>
          <w:highlight w:val="none"/>
        </w:rPr>
      </w:pPr>
      <w:r>
        <w:rPr>
          <w:rFonts w:hint="eastAsia" w:ascii="Times New Roman" w:hAnsi="Times New Roman" w:cs="Times New Roman"/>
          <w:color w:val="auto"/>
          <w:sz w:val="24"/>
          <w:highlight w:val="none"/>
          <w:lang w:eastAsia="zh-CN"/>
        </w:rPr>
        <w:t>本项目为国有企业采购货物项目，不适用《中华人民共和国政府采购法》等政府采购相关法律法规。为便于本项目的顺利实施，采购人比照《中华人民共和国政府采购法》等有关规定开展采购活动。如供应商对本项目提出质疑或提起投诉的，请与采购人、代理公司或采购人主管部门联系处理。响水县公共资源交易中心仅提供发布信息、场地等服务，不负责处理相关质疑、投诉事项。</w:t>
      </w:r>
    </w:p>
    <w:p w14:paraId="0D6F5F28">
      <w:pPr>
        <w:spacing w:before="80" w:beforeLines="25" w:after="80" w:afterLines="25" w:line="420" w:lineRule="exact"/>
        <w:ind w:firstLine="480" w:firstLineChars="200"/>
        <w:jc w:val="right"/>
        <w:rPr>
          <w:rFonts w:hint="eastAsia" w:eastAsia="宋体"/>
          <w:color w:val="auto"/>
          <w:sz w:val="24"/>
          <w:highlight w:val="none"/>
          <w:lang w:eastAsia="zh-CN"/>
        </w:rPr>
      </w:pPr>
      <w:r>
        <w:rPr>
          <w:rFonts w:hint="eastAsia"/>
          <w:color w:val="auto"/>
          <w:sz w:val="24"/>
          <w:highlight w:val="none"/>
          <w:lang w:eastAsia="zh-CN"/>
        </w:rPr>
        <w:t>响水县汇响水务发展有限公司</w:t>
      </w:r>
    </w:p>
    <w:p w14:paraId="655BFC0F">
      <w:pPr>
        <w:spacing w:before="80" w:beforeLines="25" w:after="80" w:afterLines="25" w:line="420" w:lineRule="exact"/>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日</w:t>
      </w:r>
    </w:p>
    <w:bookmarkEnd w:id="7"/>
    <w:p w14:paraId="00463D05">
      <w:pPr>
        <w:spacing w:before="80" w:beforeLines="25" w:after="80" w:afterLines="25" w:line="420" w:lineRule="exact"/>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br w:type="page"/>
      </w:r>
    </w:p>
    <w:p w14:paraId="6A7EEAFC">
      <w:pPr>
        <w:spacing w:before="80" w:beforeLines="25" w:after="80" w:afterLines="25"/>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第二章  投标人须知</w:t>
      </w:r>
      <w:bookmarkEnd w:id="1"/>
      <w:bookmarkEnd w:id="2"/>
      <w:bookmarkEnd w:id="3"/>
      <w:bookmarkEnd w:id="4"/>
      <w:bookmarkEnd w:id="5"/>
      <w:bookmarkEnd w:id="6"/>
    </w:p>
    <w:p w14:paraId="23FE1B42">
      <w:pPr>
        <w:spacing w:before="80" w:beforeLines="25" w:after="80" w:afterLines="25"/>
        <w:jc w:val="center"/>
        <w:outlineLvl w:val="1"/>
        <w:rPr>
          <w:rFonts w:hint="eastAsia" w:ascii="宋体" w:hAnsi="宋体" w:cs="宋体"/>
          <w:b/>
          <w:bCs/>
          <w:color w:val="auto"/>
          <w:sz w:val="30"/>
          <w:szCs w:val="30"/>
          <w:highlight w:val="none"/>
        </w:rPr>
      </w:pPr>
      <w:bookmarkStart w:id="24" w:name="_Toc30101"/>
      <w:bookmarkStart w:id="25" w:name="_Toc6214"/>
      <w:bookmarkStart w:id="26" w:name="_Toc4884"/>
      <w:bookmarkStart w:id="27" w:name="_Toc30742"/>
      <w:bookmarkStart w:id="28" w:name="_Toc9932"/>
      <w:r>
        <w:rPr>
          <w:rFonts w:hint="eastAsia" w:ascii="宋体" w:hAnsi="宋体" w:cs="宋体"/>
          <w:b/>
          <w:bCs/>
          <w:color w:val="auto"/>
          <w:sz w:val="30"/>
          <w:szCs w:val="30"/>
          <w:highlight w:val="none"/>
        </w:rPr>
        <w:t>一、说明</w:t>
      </w:r>
      <w:bookmarkEnd w:id="24"/>
      <w:bookmarkEnd w:id="25"/>
      <w:bookmarkEnd w:id="26"/>
      <w:bookmarkEnd w:id="27"/>
      <w:bookmarkEnd w:id="28"/>
    </w:p>
    <w:p w14:paraId="45DDEF0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29" w:name="_Toc26628"/>
      <w:r>
        <w:rPr>
          <w:rFonts w:hint="eastAsia" w:ascii="宋体" w:hAnsi="宋体" w:cs="宋体"/>
          <w:b/>
          <w:bCs/>
          <w:color w:val="auto"/>
          <w:sz w:val="24"/>
          <w:highlight w:val="none"/>
        </w:rPr>
        <w:t>1.采购人、采购代理机构及合格的投标人</w:t>
      </w:r>
      <w:bookmarkEnd w:id="29"/>
    </w:p>
    <w:p w14:paraId="0E49D9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1.1  采购人：见“招标公告”。</w:t>
      </w:r>
    </w:p>
    <w:p w14:paraId="3C6E7B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1.2  采购代理机构：见“招标公告”。</w:t>
      </w:r>
    </w:p>
    <w:p w14:paraId="7353A0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1.3  合格的投标人：见“招标公告”。</w:t>
      </w:r>
    </w:p>
    <w:p w14:paraId="7F6D91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1.4  采购人或采购代理机构在任何时候发现投标人提交的投标文件内容有下列情形之一时，取消其投标或中标资格，有权依法追究投标人的责任：</w:t>
      </w:r>
    </w:p>
    <w:p w14:paraId="29A2D7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（1）提供虚假的资料。</w:t>
      </w:r>
    </w:p>
    <w:p w14:paraId="74754D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（2）在实质性方面失实。</w:t>
      </w:r>
    </w:p>
    <w:p w14:paraId="1515545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30" w:name="_Toc30626"/>
      <w:r>
        <w:rPr>
          <w:rFonts w:hint="eastAsia" w:ascii="宋体" w:hAnsi="宋体" w:cs="宋体"/>
          <w:b/>
          <w:bCs/>
          <w:color w:val="auto"/>
          <w:sz w:val="24"/>
          <w:highlight w:val="none"/>
        </w:rPr>
        <w:t>2.资金来源</w:t>
      </w:r>
      <w:bookmarkEnd w:id="30"/>
    </w:p>
    <w:p w14:paraId="584F77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资金来源及比例：自筹资金</w:t>
      </w:r>
      <w:r>
        <w:rPr>
          <w:rFonts w:hint="eastAsia" w:ascii="宋体" w:hAnsi="宋体" w:cs="宋体"/>
          <w:color w:val="auto"/>
          <w:sz w:val="24"/>
          <w:highlight w:val="none"/>
          <w:u w:val="single"/>
        </w:rPr>
        <w:t>100%</w:t>
      </w:r>
      <w:r>
        <w:rPr>
          <w:rFonts w:hint="eastAsia" w:ascii="宋体" w:hAnsi="宋体" w:cs="宋体"/>
          <w:color w:val="auto"/>
          <w:sz w:val="24"/>
          <w:highlight w:val="none"/>
        </w:rPr>
        <w:t>。</w:t>
      </w:r>
    </w:p>
    <w:p w14:paraId="05CDBF4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31" w:name="_Toc4723"/>
      <w:r>
        <w:rPr>
          <w:rFonts w:hint="eastAsia" w:ascii="宋体" w:hAnsi="宋体" w:cs="宋体"/>
          <w:b/>
          <w:bCs/>
          <w:color w:val="auto"/>
          <w:sz w:val="24"/>
          <w:highlight w:val="none"/>
        </w:rPr>
        <w:t>3.投标费用</w:t>
      </w:r>
      <w:bookmarkEnd w:id="31"/>
    </w:p>
    <w:p w14:paraId="74A9E1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投标人应承担所有与准备和参加投标有关的费用，不论投标的结果如何，采购人或采购代理机构均无承担的义务和责任。</w:t>
      </w:r>
    </w:p>
    <w:p w14:paraId="023D6037">
      <w:pPr>
        <w:spacing w:before="80" w:beforeLines="25" w:after="80" w:afterLines="25"/>
        <w:jc w:val="center"/>
        <w:outlineLvl w:val="1"/>
        <w:rPr>
          <w:rFonts w:hint="eastAsia" w:ascii="宋体" w:hAnsi="宋体" w:cs="宋体"/>
          <w:b/>
          <w:bCs/>
          <w:color w:val="auto"/>
          <w:sz w:val="30"/>
          <w:szCs w:val="30"/>
          <w:highlight w:val="none"/>
        </w:rPr>
      </w:pPr>
      <w:bookmarkStart w:id="32" w:name="_Toc24266"/>
      <w:bookmarkStart w:id="33" w:name="_Toc29298"/>
      <w:bookmarkStart w:id="34" w:name="_Toc10677"/>
      <w:bookmarkStart w:id="35" w:name="_Toc28983"/>
      <w:bookmarkStart w:id="36" w:name="_Toc24195"/>
      <w:r>
        <w:rPr>
          <w:rFonts w:hint="eastAsia" w:ascii="宋体" w:hAnsi="宋体" w:cs="宋体"/>
          <w:b/>
          <w:bCs/>
          <w:color w:val="auto"/>
          <w:sz w:val="30"/>
          <w:szCs w:val="30"/>
          <w:highlight w:val="none"/>
        </w:rPr>
        <w:t>二、招标文件</w:t>
      </w:r>
      <w:bookmarkEnd w:id="32"/>
      <w:bookmarkEnd w:id="33"/>
      <w:bookmarkEnd w:id="34"/>
      <w:bookmarkEnd w:id="35"/>
      <w:bookmarkEnd w:id="36"/>
    </w:p>
    <w:p w14:paraId="2435387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37" w:name="_Toc7875"/>
      <w:r>
        <w:rPr>
          <w:rFonts w:hint="eastAsia" w:ascii="宋体" w:hAnsi="宋体" w:cs="宋体"/>
          <w:b/>
          <w:bCs/>
          <w:color w:val="auto"/>
          <w:sz w:val="24"/>
          <w:highlight w:val="none"/>
        </w:rPr>
        <w:t>4.招标文件构成</w:t>
      </w:r>
      <w:bookmarkEnd w:id="37"/>
    </w:p>
    <w:p w14:paraId="62D25BF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4.1  要求提供货物的内容及详细技术需求、投标须知和合同条件等在招标文件中均有说明。</w:t>
      </w:r>
    </w:p>
    <w:p w14:paraId="1FAD88E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招标文件内容如下：</w:t>
      </w:r>
    </w:p>
    <w:p w14:paraId="339A4AD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第一章  招标公告</w:t>
      </w:r>
    </w:p>
    <w:p w14:paraId="409FF5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第二章  投标人须知</w:t>
      </w:r>
    </w:p>
    <w:p w14:paraId="555D2AD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第三章  项目需求</w:t>
      </w:r>
    </w:p>
    <w:p w14:paraId="74A2558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第四章  合同主要条款</w:t>
      </w:r>
    </w:p>
    <w:p w14:paraId="12963F4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第五章  投标文件格式</w:t>
      </w:r>
    </w:p>
    <w:p w14:paraId="0876C4F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4.2  投标人应认真阅读招标文件所有的事项、格式、条款和技术规范等。如投标人没有按照招标文件要求提交全部资料，或者投标文件没有对招标文件在各方面都做出实质性响应是投标人的风险，并可能导致其投标被拒绝。</w:t>
      </w:r>
    </w:p>
    <w:p w14:paraId="722AA604">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38" w:name="_Toc31050"/>
      <w:r>
        <w:rPr>
          <w:rFonts w:hint="eastAsia" w:ascii="宋体" w:hAnsi="宋体" w:cs="宋体"/>
          <w:b/>
          <w:bCs/>
          <w:color w:val="auto"/>
          <w:sz w:val="24"/>
          <w:highlight w:val="none"/>
        </w:rPr>
        <w:t>5.招标文件的澄清和异议</w:t>
      </w:r>
      <w:bookmarkEnd w:id="38"/>
    </w:p>
    <w:p w14:paraId="4C368CC5">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bookmarkStart w:id="39" w:name="_Toc462564071"/>
      <w:bookmarkStart w:id="40" w:name="_Toc20823284"/>
      <w:bookmarkStart w:id="41" w:name="_Toc513029212"/>
      <w:bookmarkStart w:id="42" w:name="_Toc16938528"/>
      <w:r>
        <w:rPr>
          <w:rFonts w:hint="eastAsia"/>
          <w:color w:val="auto"/>
          <w:highlight w:val="none"/>
        </w:rPr>
        <w:t>5.1  任何要求对招标文件进行澄清或对招标文件有异议的投标人，均须在法定时间内（以公告截止时间起算）</w:t>
      </w:r>
      <w:r>
        <w:rPr>
          <w:rFonts w:hint="eastAsia"/>
          <w:color w:val="auto"/>
          <w:highlight w:val="none"/>
          <w:lang w:val="en-US" w:eastAsia="zh-CN"/>
        </w:rPr>
        <w:t>7天内</w:t>
      </w:r>
      <w:r>
        <w:rPr>
          <w:rFonts w:hint="eastAsia"/>
          <w:color w:val="auto"/>
          <w:highlight w:val="none"/>
        </w:rPr>
        <w:t>以书面形式送达采购人或采购代理机构（联系方式见“招标公告”）。逾期递交对招标文件要求进行澄清或对招标文件有异议的将不予受理。</w:t>
      </w:r>
    </w:p>
    <w:p w14:paraId="27F80DF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5.2  采购人或者采购代理机构对规定时间内收到的澄清要求和对异议的答复，将在响水县人民政府网-招投标信息(</w:t>
      </w:r>
      <w:r>
        <w:rPr>
          <w:color w:val="auto"/>
          <w:highlight w:val="none"/>
        </w:rPr>
        <w:fldChar w:fldCharType="begin"/>
      </w:r>
      <w:r>
        <w:rPr>
          <w:color w:val="auto"/>
          <w:highlight w:val="none"/>
        </w:rPr>
        <w:instrText xml:space="preserve"> HYPERLINK "http://www.xiangshui.gov.cn/col/col34033/index.html" </w:instrText>
      </w:r>
      <w:r>
        <w:rPr>
          <w:color w:val="auto"/>
          <w:highlight w:val="none"/>
        </w:rPr>
        <w:fldChar w:fldCharType="separate"/>
      </w:r>
      <w:r>
        <w:rPr>
          <w:rFonts w:hint="eastAsia"/>
          <w:color w:val="auto"/>
          <w:highlight w:val="none"/>
        </w:rPr>
        <w:t>www.xiangshui.gov.cn/art/2023/9/7/art_34033_4054346.html)</w:t>
      </w:r>
      <w:r>
        <w:rPr>
          <w:rFonts w:hint="eastAsia"/>
          <w:color w:val="auto"/>
          <w:highlight w:val="none"/>
        </w:rPr>
        <w:fldChar w:fldCharType="end"/>
      </w:r>
      <w:r>
        <w:rPr>
          <w:rFonts w:hint="eastAsia"/>
          <w:color w:val="auto"/>
          <w:highlight w:val="none"/>
        </w:rPr>
        <w:t>“国企采购-采购公告</w:t>
      </w:r>
      <w:r>
        <w:rPr>
          <w:rFonts w:hint="eastAsia"/>
          <w:color w:val="auto"/>
          <w:highlight w:val="none"/>
          <w:lang w:val="en-US" w:eastAsia="zh-CN"/>
        </w:rPr>
        <w:t>-</w:t>
      </w:r>
      <w:r>
        <w:rPr>
          <w:rFonts w:hint="eastAsia"/>
          <w:color w:val="auto"/>
          <w:highlight w:val="none"/>
        </w:rPr>
        <w:t>更正公告”栏下载，请投标人自行查看，否则后果自负。</w:t>
      </w:r>
    </w:p>
    <w:p w14:paraId="2FB0887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5.3  澄清或者对异议的答复作为招标文件的组成部分。</w:t>
      </w:r>
    </w:p>
    <w:p w14:paraId="33C1D553">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5.4  澄清或者对异议的答复内容可能影响投标文件编制的，采购人或者采购代理机构应当在投标截止时间至少15日前，以5.2条款的形式通知所有获取招标文件的潜在投标人；不足15日的，采购人或者采购代理机构应当顺延提交投标文件的截止时间。</w:t>
      </w:r>
    </w:p>
    <w:p w14:paraId="5EED6AF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color w:val="auto"/>
          <w:sz w:val="24"/>
          <w:highlight w:val="none"/>
        </w:rPr>
      </w:pPr>
      <w:bookmarkStart w:id="43" w:name="_Toc15888"/>
      <w:r>
        <w:rPr>
          <w:rFonts w:hint="eastAsia" w:ascii="宋体" w:hAnsi="宋体" w:cs="宋体"/>
          <w:b/>
          <w:color w:val="auto"/>
          <w:sz w:val="24"/>
          <w:highlight w:val="none"/>
        </w:rPr>
        <w:t>6.招标文件的修改</w:t>
      </w:r>
      <w:bookmarkEnd w:id="39"/>
      <w:bookmarkEnd w:id="40"/>
      <w:bookmarkEnd w:id="41"/>
      <w:bookmarkEnd w:id="42"/>
      <w:bookmarkEnd w:id="43"/>
    </w:p>
    <w:p w14:paraId="5B1DB74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6.1  在投标截止期前的任何时候，无论出于何种原因，采购人或者采购代理机构均可主动地或在解答投标人提出的澄清问题时对招标文件进行修改。</w:t>
      </w:r>
    </w:p>
    <w:p w14:paraId="0582AA03">
      <w:pPr>
        <w:keepNext w:val="0"/>
        <w:keepLines w:val="0"/>
        <w:pageBreakBefore w:val="0"/>
        <w:widowControl/>
        <w:tabs>
          <w:tab w:val="left" w:pos="90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6.2  采购人或者采购代理机构对澄清或修改内容，将在响水县人民政府网-招投标信息“国企采购-采购公告-更正公告”上公布，请投标人自行查看，否则后果自负。</w:t>
      </w:r>
    </w:p>
    <w:p w14:paraId="72EA1814">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color w:val="auto"/>
          <w:highlight w:val="none"/>
        </w:rPr>
      </w:pPr>
      <w:r>
        <w:rPr>
          <w:rFonts w:hint="eastAsia"/>
          <w:color w:val="auto"/>
          <w:highlight w:val="none"/>
        </w:rPr>
        <w:t>6.3  澄清或者修改的内容作为招标文件的组成部分。</w:t>
      </w:r>
    </w:p>
    <w:p w14:paraId="4CE077C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 xml:space="preserve">6.4 </w:t>
      </w:r>
      <w:r>
        <w:rPr>
          <w:rFonts w:hint="eastAsia"/>
          <w:color w:val="FF0000"/>
          <w:highlight w:val="none"/>
        </w:rPr>
        <w:t xml:space="preserve"> </w:t>
      </w:r>
      <w:r>
        <w:rPr>
          <w:rFonts w:hint="eastAsia"/>
          <w:color w:val="auto"/>
          <w:highlight w:val="none"/>
        </w:rPr>
        <w:t>澄清或者修改的内容可能影响投标文件编制的，采购人或者采购代理机构应当在投标截止时间至少15日前，以6.2条款的形式通知所有获取招标文件的潜在投标人；不足15日的，采购人或者采购代理机构应当顺延提交投标文件的截止时间。</w:t>
      </w:r>
    </w:p>
    <w:p w14:paraId="3936C9CD">
      <w:pPr>
        <w:spacing w:before="80" w:beforeLines="25" w:after="80" w:afterLines="25"/>
        <w:jc w:val="center"/>
        <w:outlineLvl w:val="1"/>
        <w:rPr>
          <w:rFonts w:hint="eastAsia" w:ascii="宋体" w:hAnsi="宋体" w:cs="宋体"/>
          <w:b/>
          <w:bCs/>
          <w:color w:val="auto"/>
          <w:sz w:val="30"/>
          <w:szCs w:val="30"/>
          <w:highlight w:val="none"/>
        </w:rPr>
      </w:pPr>
      <w:bookmarkStart w:id="44" w:name="_Toc28533"/>
      <w:bookmarkStart w:id="45" w:name="_Toc27772"/>
      <w:bookmarkStart w:id="46" w:name="_Toc11869"/>
      <w:bookmarkStart w:id="47" w:name="_Toc3291"/>
      <w:bookmarkStart w:id="48" w:name="_Toc11166"/>
      <w:r>
        <w:rPr>
          <w:rFonts w:hint="eastAsia" w:ascii="宋体" w:hAnsi="宋体" w:cs="宋体"/>
          <w:b/>
          <w:bCs/>
          <w:color w:val="auto"/>
          <w:sz w:val="30"/>
          <w:szCs w:val="30"/>
          <w:highlight w:val="none"/>
        </w:rPr>
        <w:t>三、投标文件的编制</w:t>
      </w:r>
      <w:bookmarkEnd w:id="44"/>
      <w:bookmarkEnd w:id="45"/>
      <w:bookmarkEnd w:id="46"/>
      <w:bookmarkEnd w:id="47"/>
      <w:bookmarkEnd w:id="48"/>
    </w:p>
    <w:p w14:paraId="290CF35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49" w:name="_Toc11914"/>
      <w:r>
        <w:rPr>
          <w:rFonts w:hint="eastAsia" w:ascii="宋体" w:hAnsi="宋体" w:cs="宋体"/>
          <w:b/>
          <w:bCs/>
          <w:color w:val="auto"/>
          <w:sz w:val="24"/>
          <w:highlight w:val="none"/>
        </w:rPr>
        <w:t>7.投标文字及投标文件中计量单位的使用</w:t>
      </w:r>
      <w:bookmarkEnd w:id="49"/>
    </w:p>
    <w:p w14:paraId="1E45307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投标文件中应使用中文，外文的除提供外文外应将外文翻译成中文并保证准确性。计量单位，除招标文件中有特殊要求外，应采用中华人民共和国法定计量单位。</w:t>
      </w:r>
    </w:p>
    <w:p w14:paraId="3309D55D">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50" w:name="_Toc21494"/>
      <w:r>
        <w:rPr>
          <w:rFonts w:hint="eastAsia" w:ascii="宋体" w:hAnsi="宋体" w:cs="宋体"/>
          <w:b/>
          <w:bCs/>
          <w:color w:val="auto"/>
          <w:sz w:val="24"/>
          <w:highlight w:val="none"/>
        </w:rPr>
        <w:t>8.投标文件构成</w:t>
      </w:r>
      <w:bookmarkEnd w:id="50"/>
    </w:p>
    <w:p w14:paraId="2E92E46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bCs/>
          <w:color w:val="FF0000"/>
          <w:sz w:val="24"/>
          <w:highlight w:val="none"/>
          <w:lang w:eastAsia="zh-CN"/>
        </w:rPr>
      </w:pPr>
      <w:bookmarkStart w:id="51" w:name="_Toc26187"/>
      <w:r>
        <w:rPr>
          <w:rFonts w:hint="eastAsia" w:ascii="宋体" w:hAnsi="宋体" w:cs="宋体"/>
          <w:color w:val="auto"/>
          <w:sz w:val="24"/>
          <w:highlight w:val="none"/>
        </w:rPr>
        <w:t>投标人应完整地按招标文件提供的投标文件格式填写投标文件，投标文件应包括以下内容（格式见第五章）：投标函、法定代表人身份证明书、授权委托书（如果有）、开标一览表、投标分项报价表、技术参数偏离表、资格证明文件、方案、事前信用承诺书、招标文件要求提供或投标人认为有必要提供的其他文件。</w:t>
      </w:r>
    </w:p>
    <w:p w14:paraId="487A548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r>
        <w:rPr>
          <w:rFonts w:hint="eastAsia" w:ascii="宋体" w:hAnsi="宋体" w:cs="宋体"/>
          <w:b/>
          <w:bCs/>
          <w:color w:val="auto"/>
          <w:sz w:val="24"/>
          <w:highlight w:val="none"/>
        </w:rPr>
        <w:t>9.货物的合格性和符合招标文件规定的文件</w:t>
      </w:r>
      <w:bookmarkEnd w:id="51"/>
    </w:p>
    <w:p w14:paraId="1B0D0AF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9.1  投标人所供货物和服务必须符合招标文件规定。</w:t>
      </w:r>
    </w:p>
    <w:p w14:paraId="4886964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highlight w:val="none"/>
        </w:rPr>
      </w:pPr>
      <w:r>
        <w:rPr>
          <w:rFonts w:hint="eastAsia" w:ascii="宋体" w:hAnsi="宋体" w:cs="宋体"/>
          <w:color w:val="auto"/>
          <w:sz w:val="24"/>
          <w:highlight w:val="none"/>
        </w:rPr>
        <w:t>9.2</w:t>
      </w:r>
      <w:r>
        <w:rPr>
          <w:rFonts w:hint="eastAsia" w:ascii="宋体" w:hAnsi="宋体" w:cs="宋体"/>
          <w:color w:val="auto"/>
          <w:kern w:val="0"/>
          <w:sz w:val="24"/>
          <w:highlight w:val="none"/>
        </w:rPr>
        <w:t xml:space="preserve">  对照招标文件</w:t>
      </w:r>
      <w:r>
        <w:rPr>
          <w:rFonts w:hint="eastAsia" w:ascii="宋体" w:hAnsi="宋体" w:cs="宋体"/>
          <w:color w:val="auto"/>
          <w:sz w:val="24"/>
          <w:highlight w:val="none"/>
        </w:rPr>
        <w:t>技术规格，逐条说明所提供货物和服务已对招标文件的技术规格做出了实质性的响应，或申明与技术规格条文的偏差和例外。</w:t>
      </w:r>
    </w:p>
    <w:p w14:paraId="16BE4FD9">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52" w:name="_Toc2610"/>
      <w:r>
        <w:rPr>
          <w:rFonts w:hint="eastAsia" w:ascii="宋体" w:hAnsi="宋体" w:cs="宋体"/>
          <w:b/>
          <w:bCs/>
          <w:color w:val="auto"/>
          <w:sz w:val="24"/>
          <w:highlight w:val="none"/>
        </w:rPr>
        <w:t>10.投标报价</w:t>
      </w:r>
      <w:bookmarkEnd w:id="52"/>
    </w:p>
    <w:p w14:paraId="10BE27C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bookmarkStart w:id="53" w:name="_Toc26233"/>
      <w:r>
        <w:rPr>
          <w:rFonts w:hint="eastAsia" w:ascii="宋体" w:hAnsi="宋体" w:cs="宋体"/>
          <w:color w:val="auto"/>
          <w:sz w:val="24"/>
          <w:highlight w:val="none"/>
        </w:rPr>
        <w:t>10.1所有投标均以人民币报价。投标人的投标报价应遵守“中华人民共和国价格法”。</w:t>
      </w:r>
    </w:p>
    <w:p w14:paraId="2159418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10.2投标人应在投标分项报价表上标明投标货物及相关服务的单价(如适用)和总价，并由法定代表人或其授权代表签署。</w:t>
      </w:r>
    </w:p>
    <w:p w14:paraId="7C2E05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10.3报价包括但不限于对本次采购、安装、调试及其伴随服务各项支付金额的总和。上述金额包括乙方为完成</w:t>
      </w:r>
      <w:r>
        <w:rPr>
          <w:rFonts w:hint="eastAsia" w:ascii="宋体" w:hAnsi="宋体" w:cs="宋体"/>
          <w:sz w:val="24"/>
        </w:rPr>
        <w:t>上述内容所必须的质量保证与技术支持、软件开发</w:t>
      </w:r>
      <w:r>
        <w:rPr>
          <w:rFonts w:hint="eastAsia" w:ascii="宋体" w:hAnsi="宋体" w:cs="宋体"/>
          <w:sz w:val="24"/>
          <w:lang w:eastAsia="zh-CN"/>
        </w:rPr>
        <w:t>（</w:t>
      </w:r>
      <w:r>
        <w:rPr>
          <w:rFonts w:hint="eastAsia" w:ascii="宋体" w:hAnsi="宋体" w:cs="宋体"/>
          <w:sz w:val="24"/>
          <w:lang w:val="en-US" w:eastAsia="zh-CN"/>
        </w:rPr>
        <w:t>含后期升级</w:t>
      </w:r>
      <w:r>
        <w:rPr>
          <w:rFonts w:hint="eastAsia" w:ascii="宋体" w:hAnsi="宋体" w:cs="宋体"/>
          <w:sz w:val="24"/>
          <w:lang w:eastAsia="zh-CN"/>
        </w:rPr>
        <w:t>）</w:t>
      </w:r>
      <w:r>
        <w:rPr>
          <w:rFonts w:hint="eastAsia" w:ascii="宋体" w:hAnsi="宋体" w:cs="宋体"/>
          <w:sz w:val="24"/>
        </w:rPr>
        <w:t>、加工制造、</w:t>
      </w:r>
      <w:r>
        <w:rPr>
          <w:rFonts w:hint="eastAsia" w:ascii="宋体" w:hAnsi="宋体" w:cs="宋体"/>
          <w:color w:val="auto"/>
          <w:sz w:val="24"/>
          <w:highlight w:val="none"/>
        </w:rPr>
        <w:t>采购、安装、调试、产品价格、包装费、上下货力资费、运杂费、保险费、安装布置就位费、随货提供的备品备件费及专用工具费、组装费、维修保养费、配合费、成品保护费、保洁费、售后服务费（含</w:t>
      </w:r>
      <w:r>
        <w:rPr>
          <w:rFonts w:hint="eastAsia" w:ascii="宋体" w:hAnsi="宋体" w:cs="宋体"/>
          <w:color w:val="auto"/>
          <w:sz w:val="24"/>
          <w:highlight w:val="none"/>
          <w:lang w:val="en-US" w:eastAsia="zh-CN"/>
        </w:rPr>
        <w:t>质保、质保材料耗材等、</w:t>
      </w:r>
      <w:r>
        <w:rPr>
          <w:rFonts w:hint="eastAsia" w:ascii="宋体" w:hAnsi="宋体" w:cs="宋体"/>
          <w:color w:val="auto"/>
          <w:sz w:val="24"/>
          <w:highlight w:val="none"/>
        </w:rPr>
        <w:t>培训、维保）、管理费、税金（结算时需提供甲方要求的增值税专用发票）、利润及其验收合格前相关的所有费用。此全费用综合合价为完成整个投标项目的最终报价，国家政策性调价、市场价格变动，全费用综合单价均不作调整。采购人一律不另行支付其他费用。中标后竣工结算时全费用综合单价不予调整。</w:t>
      </w:r>
    </w:p>
    <w:p w14:paraId="1D54D04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10.4投标人所报的各分项投标单价在合同履行过程中是固定不变的，不得以任何理由予以变更。任何包含价格调整要求的投标，将被认为是非响应性投标而予以拒绝。</w:t>
      </w:r>
    </w:p>
    <w:p w14:paraId="58266B8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10.5每种货物和服务只能有一个投标报价。</w:t>
      </w:r>
    </w:p>
    <w:p w14:paraId="31A8B18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10.6 公证费按中标价万分之四收取，包含在投标总价中，不得单独列项，由投标人自行考虑。中标人在领取通知书时一次性支付给公证处。</w:t>
      </w:r>
    </w:p>
    <w:p w14:paraId="3E1FCD0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11.资格证明文件</w:t>
      </w:r>
      <w:bookmarkEnd w:id="53"/>
    </w:p>
    <w:p w14:paraId="4F3E531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sz w:val="24"/>
          <w:highlight w:val="none"/>
        </w:rPr>
      </w:pPr>
      <w:r>
        <w:rPr>
          <w:rFonts w:hint="eastAsia" w:ascii="宋体" w:hAnsi="宋体" w:cs="宋体"/>
          <w:color w:val="auto"/>
          <w:sz w:val="24"/>
          <w:highlight w:val="none"/>
        </w:rPr>
        <w:t>资格证明文件包括：书面声明、营业执照</w:t>
      </w:r>
      <w:r>
        <w:rPr>
          <w:rFonts w:hint="eastAsia" w:ascii="宋体" w:hAnsi="宋体" w:cs="宋体"/>
          <w:color w:val="auto"/>
          <w:sz w:val="24"/>
          <w:highlight w:val="none"/>
          <w:lang w:eastAsia="zh-CN"/>
        </w:rPr>
        <w:t>、</w:t>
      </w:r>
      <w:r>
        <w:rPr>
          <w:rFonts w:hint="eastAsia" w:ascii="宋体" w:hAnsi="宋体" w:cs="宋体"/>
          <w:sz w:val="24"/>
        </w:rPr>
        <w:t>信用截图或下载信用报告</w:t>
      </w:r>
      <w:r>
        <w:rPr>
          <w:rFonts w:hint="eastAsia" w:ascii="宋体" w:hAnsi="宋体" w:cs="宋体"/>
          <w:color w:val="auto"/>
          <w:sz w:val="24"/>
          <w:highlight w:val="none"/>
        </w:rPr>
        <w:t>原件彩色扫描件</w:t>
      </w:r>
      <w:r>
        <w:rPr>
          <w:rFonts w:hint="eastAsia" w:ascii="宋体" w:hAnsi="宋体" w:cs="宋体"/>
          <w:color w:val="auto"/>
          <w:sz w:val="24"/>
          <w:highlight w:val="none"/>
          <w:lang w:val="en-US" w:eastAsia="zh-CN"/>
        </w:rPr>
        <w:t>加盖投标人公章</w:t>
      </w:r>
      <w:r>
        <w:rPr>
          <w:rFonts w:hint="eastAsia" w:ascii="宋体" w:hAnsi="宋体" w:cs="宋体"/>
          <w:color w:val="auto"/>
          <w:sz w:val="24"/>
          <w:highlight w:val="none"/>
        </w:rPr>
        <w:t>，</w:t>
      </w:r>
      <w:r>
        <w:rPr>
          <w:rFonts w:hint="eastAsia" w:hAnsi="宋体" w:cs="宋体"/>
          <w:color w:val="auto"/>
          <w:sz w:val="24"/>
          <w:highlight w:val="none"/>
        </w:rPr>
        <w:t>否则资格不予通过。</w:t>
      </w:r>
    </w:p>
    <w:p w14:paraId="45170CF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54" w:name="_Toc9660"/>
      <w:r>
        <w:rPr>
          <w:rFonts w:hint="eastAsia" w:ascii="宋体" w:hAnsi="宋体" w:cs="宋体"/>
          <w:b/>
          <w:bCs/>
          <w:color w:val="auto"/>
          <w:sz w:val="24"/>
          <w:highlight w:val="none"/>
        </w:rPr>
        <w:t>12.投标有效期</w:t>
      </w:r>
      <w:bookmarkEnd w:id="54"/>
    </w:p>
    <w:p w14:paraId="6420FEF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12.1  投标有效期从提交投标文件的截止之日起算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天，投标文件中承诺的投标有效期应当不少于招标文件中载明的投标有效期。投标有效期不满足要求的投标将被视为非响应性投标而予以拒绝。</w:t>
      </w:r>
    </w:p>
    <w:p w14:paraId="718D0E8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12.2  采购人或采购代理机构可根据实际情况，在原投标有效期截止之前，要求投标人同意延长投标文件的有效期。接受该要求的投标人将不会被要求和允许修正其投标，投标人也可以拒绝招标采购人或采购代理机构的这种要求。上述要求和答复都应以书面形式提交。</w:t>
      </w:r>
    </w:p>
    <w:p w14:paraId="70947E89">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13</w:t>
      </w:r>
      <w:r>
        <w:rPr>
          <w:rFonts w:hint="eastAsia" w:ascii="宋体" w:hAnsi="宋体" w:eastAsia="宋体" w:cs="宋体"/>
          <w:b/>
          <w:bCs/>
          <w:color w:val="auto"/>
          <w:sz w:val="24"/>
          <w:highlight w:val="none"/>
        </w:rPr>
        <w:t>. 投标保证金</w:t>
      </w:r>
    </w:p>
    <w:p w14:paraId="5888715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 xml:space="preserve"> 本项目不收取投标保证金</w:t>
      </w:r>
      <w:r>
        <w:rPr>
          <w:rFonts w:hint="eastAsia" w:ascii="宋体" w:hAnsi="宋体" w:eastAsia="宋体" w:cs="宋体"/>
          <w:color w:val="auto"/>
          <w:sz w:val="24"/>
          <w:highlight w:val="none"/>
        </w:rPr>
        <w:t>。</w:t>
      </w:r>
    </w:p>
    <w:p w14:paraId="69EC23E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55" w:name="_Toc13709"/>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.投标文件的签署及规定</w:t>
      </w:r>
      <w:bookmarkEnd w:id="55"/>
    </w:p>
    <w:p w14:paraId="5722DBF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
          <w:bCs/>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.1  投标人按要求签字盖章后生成PDF文档（PDF文档须清晰可辨，如因不清晰导致评标委员会无法评审，将被作为无效投标处理），使用压缩软件加密后发送至采购人指定的邮箱，</w:t>
      </w:r>
      <w:r>
        <w:rPr>
          <w:rFonts w:hint="eastAsia" w:ascii="宋体" w:hAnsi="宋体" w:cs="宋体"/>
          <w:b/>
          <w:bCs/>
          <w:color w:val="auto"/>
          <w:sz w:val="24"/>
          <w:highlight w:val="none"/>
        </w:rPr>
        <w:t>压缩包里面有且仅有</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rPr>
        <w:t>个文件：投标文件</w:t>
      </w:r>
      <w:r>
        <w:rPr>
          <w:rFonts w:hint="eastAsia" w:ascii="宋体" w:hAnsi="宋体" w:cs="宋体"/>
          <w:color w:val="auto"/>
          <w:sz w:val="24"/>
          <w:highlight w:val="none"/>
        </w:rPr>
        <w:t>。邮箱发送主题与压缩包须标明“</w:t>
      </w:r>
      <w:r>
        <w:rPr>
          <w:rFonts w:hint="eastAsia" w:ascii="宋体" w:hAnsi="宋体" w:cs="宋体"/>
          <w:b/>
          <w:bCs/>
          <w:color w:val="auto"/>
          <w:sz w:val="24"/>
          <w:highlight w:val="none"/>
          <w:lang w:eastAsia="zh-CN"/>
        </w:rPr>
        <w:t>响水县自来水厂设备更新及自控系统改造提升工程</w:t>
      </w:r>
      <w:r>
        <w:rPr>
          <w:rFonts w:hint="eastAsia" w:ascii="宋体" w:hAnsi="宋体" w:cs="宋体"/>
          <w:b/>
          <w:bCs/>
          <w:color w:val="auto"/>
          <w:sz w:val="24"/>
          <w:highlight w:val="none"/>
        </w:rPr>
        <w:t>投标文件+供应商单位简称（不超过五个字）”字样，PDF文件名称须标明“</w:t>
      </w:r>
      <w:r>
        <w:rPr>
          <w:rFonts w:hint="eastAsia" w:ascii="宋体" w:hAnsi="宋体" w:cs="宋体"/>
          <w:b/>
          <w:bCs/>
          <w:color w:val="auto"/>
          <w:sz w:val="24"/>
          <w:highlight w:val="none"/>
          <w:lang w:eastAsia="zh-CN"/>
        </w:rPr>
        <w:t>响水县自来水厂设备更新及自控系统改造提升工程</w:t>
      </w:r>
      <w:r>
        <w:rPr>
          <w:rFonts w:hint="eastAsia" w:ascii="宋体" w:hAnsi="宋体" w:cs="宋体"/>
          <w:b/>
          <w:bCs/>
          <w:color w:val="auto"/>
          <w:sz w:val="24"/>
          <w:highlight w:val="none"/>
        </w:rPr>
        <w:t>投标文件+供应商单位简称（不超过五个字）”。</w:t>
      </w:r>
    </w:p>
    <w:p w14:paraId="1C747A5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.2  本采购项目有章印和签字要求的必须为原件彩色扫描件。</w:t>
      </w:r>
    </w:p>
    <w:p w14:paraId="7C9124C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.3  中标单位在领取中标通知书时，须打印纸质投标文件正本1份、副本4份送至招标代理机构。提供的投标文件须与中标供应商提交的投标文件PDF文档一致。</w:t>
      </w:r>
    </w:p>
    <w:p w14:paraId="5DAC6A2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.4  任何行间插字、涂改和增删，必须由投标文件签字人签字或盖章后才有效。</w:t>
      </w:r>
    </w:p>
    <w:p w14:paraId="7ABA677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.5  投标文件因字迹潦草或表达不清所引起的后果由投标人负责。</w:t>
      </w:r>
    </w:p>
    <w:p w14:paraId="26448C1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14.6 本项目公证费包含在投标报价中，投标时不得单独列项，由中标人领取中标通知书时支付给公证处。</w:t>
      </w:r>
    </w:p>
    <w:p w14:paraId="2E9F1DA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公证费收费标准：</w:t>
      </w:r>
    </w:p>
    <w:tbl>
      <w:tblPr>
        <w:tblStyle w:val="27"/>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51"/>
        <w:gridCol w:w="4649"/>
      </w:tblGrid>
      <w:tr w14:paraId="2A70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555" w:type="dxa"/>
            <w:noWrap w:val="0"/>
            <w:vAlign w:val="center"/>
          </w:tcPr>
          <w:p w14:paraId="2EBFA66F">
            <w:pPr>
              <w:spacing w:before="48" w:beforeLines="20" w:after="48" w:afterLines="20" w:line="420" w:lineRule="atLeast"/>
              <w:jc w:val="center"/>
              <w:rPr>
                <w:rFonts w:hint="eastAsia" w:ascii="宋体" w:hAnsi="宋体" w:cs="宋体"/>
                <w:b/>
                <w:bCs/>
                <w:sz w:val="24"/>
              </w:rPr>
            </w:pPr>
            <w:r>
              <w:rPr>
                <w:rFonts w:hint="eastAsia" w:ascii="宋体" w:hAnsi="宋体" w:cs="宋体"/>
                <w:b/>
                <w:bCs/>
                <w:sz w:val="24"/>
              </w:rPr>
              <w:t>中标金额（万元）</w:t>
            </w:r>
          </w:p>
        </w:tc>
        <w:tc>
          <w:tcPr>
            <w:tcW w:w="4884" w:type="dxa"/>
            <w:noWrap w:val="0"/>
            <w:vAlign w:val="center"/>
          </w:tcPr>
          <w:p w14:paraId="499CD155">
            <w:pPr>
              <w:spacing w:before="48" w:beforeLines="20" w:after="48" w:afterLines="20" w:line="420" w:lineRule="atLeast"/>
              <w:jc w:val="center"/>
              <w:rPr>
                <w:rFonts w:hint="eastAsia" w:ascii="宋体" w:hAnsi="宋体" w:cs="宋体"/>
                <w:b/>
                <w:bCs/>
                <w:sz w:val="24"/>
              </w:rPr>
            </w:pPr>
            <w:r>
              <w:rPr>
                <w:rFonts w:hint="eastAsia" w:ascii="宋体" w:hAnsi="宋体" w:cs="宋体"/>
                <w:b/>
                <w:bCs/>
                <w:sz w:val="24"/>
              </w:rPr>
              <w:t>收费标准</w:t>
            </w:r>
          </w:p>
        </w:tc>
      </w:tr>
      <w:tr w14:paraId="0F4E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555" w:type="dxa"/>
            <w:noWrap w:val="0"/>
            <w:vAlign w:val="center"/>
          </w:tcPr>
          <w:p w14:paraId="3A7CA3E3">
            <w:pPr>
              <w:spacing w:before="48" w:beforeLines="20" w:after="48" w:afterLines="20" w:line="420" w:lineRule="atLeast"/>
              <w:jc w:val="center"/>
              <w:rPr>
                <w:rFonts w:hint="eastAsia" w:ascii="宋体" w:hAnsi="宋体" w:cs="宋体"/>
                <w:sz w:val="24"/>
              </w:rPr>
            </w:pPr>
            <w:r>
              <w:rPr>
                <w:rFonts w:hint="eastAsia" w:ascii="宋体" w:hAnsi="宋体" w:cs="宋体"/>
                <w:sz w:val="24"/>
              </w:rPr>
              <w:t>50以下</w:t>
            </w:r>
          </w:p>
        </w:tc>
        <w:tc>
          <w:tcPr>
            <w:tcW w:w="4884" w:type="dxa"/>
            <w:noWrap w:val="0"/>
            <w:vAlign w:val="center"/>
          </w:tcPr>
          <w:p w14:paraId="71C60AEC">
            <w:pPr>
              <w:spacing w:before="48" w:beforeLines="20" w:after="48" w:afterLines="20" w:line="420" w:lineRule="atLeast"/>
              <w:jc w:val="center"/>
              <w:rPr>
                <w:rFonts w:hint="eastAsia" w:ascii="宋体" w:hAnsi="宋体" w:cs="宋体"/>
                <w:sz w:val="24"/>
              </w:rPr>
            </w:pPr>
            <w:r>
              <w:rPr>
                <w:rFonts w:hint="eastAsia" w:ascii="宋体" w:hAnsi="宋体" w:cs="宋体"/>
                <w:sz w:val="24"/>
              </w:rPr>
              <w:t>300元</w:t>
            </w:r>
          </w:p>
        </w:tc>
      </w:tr>
      <w:tr w14:paraId="4301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55" w:type="dxa"/>
            <w:noWrap w:val="0"/>
            <w:vAlign w:val="center"/>
          </w:tcPr>
          <w:p w14:paraId="43D21341">
            <w:pPr>
              <w:spacing w:before="48" w:beforeLines="20" w:after="48" w:afterLines="20" w:line="420" w:lineRule="atLeast"/>
              <w:jc w:val="center"/>
              <w:rPr>
                <w:rFonts w:hint="eastAsia" w:ascii="宋体" w:hAnsi="宋体" w:cs="宋体"/>
                <w:sz w:val="24"/>
              </w:rPr>
            </w:pPr>
            <w:r>
              <w:rPr>
                <w:rFonts w:hint="eastAsia" w:ascii="宋体" w:hAnsi="宋体" w:cs="宋体"/>
                <w:sz w:val="24"/>
              </w:rPr>
              <w:t>50-200</w:t>
            </w:r>
          </w:p>
        </w:tc>
        <w:tc>
          <w:tcPr>
            <w:tcW w:w="4884" w:type="dxa"/>
            <w:noWrap w:val="0"/>
            <w:vAlign w:val="center"/>
          </w:tcPr>
          <w:p w14:paraId="59CBE9D3">
            <w:pPr>
              <w:spacing w:before="48" w:beforeLines="20" w:after="48" w:afterLines="20" w:line="420" w:lineRule="atLeast"/>
              <w:jc w:val="center"/>
              <w:rPr>
                <w:rFonts w:hint="eastAsia" w:ascii="宋体" w:hAnsi="宋体" w:cs="宋体"/>
                <w:sz w:val="24"/>
              </w:rPr>
            </w:pPr>
            <w:r>
              <w:rPr>
                <w:rFonts w:hint="eastAsia" w:ascii="宋体" w:hAnsi="宋体" w:cs="宋体"/>
                <w:sz w:val="24"/>
              </w:rPr>
              <w:t>500元</w:t>
            </w:r>
          </w:p>
        </w:tc>
      </w:tr>
      <w:tr w14:paraId="2FCD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4555" w:type="dxa"/>
            <w:noWrap w:val="0"/>
            <w:vAlign w:val="center"/>
          </w:tcPr>
          <w:p w14:paraId="6EC71653">
            <w:pPr>
              <w:spacing w:before="48" w:beforeLines="20" w:after="48" w:afterLines="20" w:line="420" w:lineRule="atLeast"/>
              <w:jc w:val="center"/>
              <w:rPr>
                <w:rFonts w:hint="eastAsia" w:ascii="宋体" w:hAnsi="宋体" w:cs="宋体"/>
                <w:sz w:val="24"/>
              </w:rPr>
            </w:pPr>
            <w:r>
              <w:rPr>
                <w:rFonts w:hint="eastAsia" w:ascii="宋体" w:hAnsi="宋体" w:cs="宋体"/>
                <w:sz w:val="24"/>
              </w:rPr>
              <w:t>200以上</w:t>
            </w:r>
          </w:p>
        </w:tc>
        <w:tc>
          <w:tcPr>
            <w:tcW w:w="4884" w:type="dxa"/>
            <w:noWrap w:val="0"/>
            <w:vAlign w:val="center"/>
          </w:tcPr>
          <w:p w14:paraId="26615BFD">
            <w:pPr>
              <w:spacing w:before="48" w:beforeLines="20" w:after="48" w:afterLines="20" w:line="420" w:lineRule="atLeast"/>
              <w:jc w:val="center"/>
              <w:rPr>
                <w:rFonts w:hint="eastAsia" w:ascii="宋体" w:hAnsi="宋体" w:cs="宋体"/>
                <w:sz w:val="24"/>
              </w:rPr>
            </w:pPr>
            <w:r>
              <w:rPr>
                <w:rFonts w:hint="eastAsia" w:ascii="宋体" w:hAnsi="宋体" w:cs="宋体"/>
                <w:sz w:val="24"/>
              </w:rPr>
              <w:t>中标金额*万分之四，最高3000元</w:t>
            </w:r>
          </w:p>
        </w:tc>
      </w:tr>
    </w:tbl>
    <w:p w14:paraId="5268F200">
      <w:pPr>
        <w:pStyle w:val="5"/>
        <w:rPr>
          <w:rFonts w:hint="eastAsia"/>
        </w:rPr>
      </w:pPr>
    </w:p>
    <w:p w14:paraId="7B1E55BC">
      <w:pPr>
        <w:spacing w:before="80" w:beforeLines="25" w:after="80" w:afterLines="25"/>
        <w:jc w:val="center"/>
        <w:outlineLvl w:val="1"/>
        <w:rPr>
          <w:rFonts w:hint="eastAsia" w:ascii="宋体" w:hAnsi="宋体" w:cs="宋体"/>
          <w:b/>
          <w:bCs/>
          <w:color w:val="auto"/>
          <w:sz w:val="30"/>
          <w:szCs w:val="30"/>
          <w:highlight w:val="none"/>
        </w:rPr>
      </w:pPr>
      <w:bookmarkStart w:id="56" w:name="_Toc4497"/>
      <w:bookmarkStart w:id="57" w:name="_Toc13886"/>
      <w:bookmarkStart w:id="58" w:name="_Toc22155"/>
      <w:bookmarkStart w:id="59" w:name="_Toc2308"/>
      <w:bookmarkStart w:id="60" w:name="_Toc25104"/>
      <w:r>
        <w:rPr>
          <w:rFonts w:hint="eastAsia" w:ascii="宋体" w:hAnsi="宋体" w:cs="宋体"/>
          <w:b/>
          <w:bCs/>
          <w:color w:val="auto"/>
          <w:sz w:val="30"/>
          <w:szCs w:val="30"/>
          <w:highlight w:val="none"/>
        </w:rPr>
        <w:t>四、投标文件的递交</w:t>
      </w:r>
      <w:bookmarkEnd w:id="56"/>
      <w:bookmarkEnd w:id="57"/>
      <w:bookmarkEnd w:id="58"/>
      <w:bookmarkEnd w:id="59"/>
      <w:bookmarkEnd w:id="60"/>
    </w:p>
    <w:p w14:paraId="436FA5FA">
      <w:pPr>
        <w:keepNext w:val="0"/>
        <w:keepLines w:val="0"/>
        <w:pageBreakBefore w:val="0"/>
        <w:kinsoku/>
        <w:wordWrap/>
        <w:overflowPunct/>
        <w:topLinePunct w:val="0"/>
        <w:bidi w:val="0"/>
        <w:adjustRightInd w:val="0"/>
        <w:snapToGrid w:val="0"/>
        <w:spacing w:line="360" w:lineRule="auto"/>
        <w:ind w:firstLine="482" w:firstLineChars="200"/>
        <w:jc w:val="left"/>
        <w:textAlignment w:val="auto"/>
        <w:rPr>
          <w:rFonts w:hint="eastAsia" w:ascii="宋体" w:hAnsi="宋体" w:cs="宋体"/>
          <w:b/>
          <w:bCs/>
          <w:color w:val="auto"/>
          <w:sz w:val="24"/>
          <w:highlight w:val="none"/>
        </w:rPr>
      </w:pPr>
      <w:bookmarkStart w:id="61" w:name="_Toc25091"/>
      <w:bookmarkStart w:id="62" w:name="_Toc23922"/>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.投标文件的递交</w:t>
      </w:r>
      <w:bookmarkEnd w:id="61"/>
      <w:bookmarkEnd w:id="62"/>
    </w:p>
    <w:p w14:paraId="451A4648">
      <w:pPr>
        <w:keepNext w:val="0"/>
        <w:keepLines w:val="0"/>
        <w:pageBreakBefore w:val="0"/>
        <w:kinsoku/>
        <w:wordWrap/>
        <w:overflowPunct/>
        <w:topLinePunct w:val="0"/>
        <w:bidi w:val="0"/>
        <w:adjustRightInd w:val="0"/>
        <w:snapToGrid w:val="0"/>
        <w:spacing w:line="360" w:lineRule="auto"/>
        <w:ind w:firstLine="480" w:firstLineChars="200"/>
        <w:textAlignment w:val="auto"/>
        <w:outlineLvl w:val="2"/>
        <w:rPr>
          <w:rFonts w:hint="eastAsia" w:ascii="宋体" w:hAnsi="宋体" w:cs="宋体"/>
          <w:color w:val="auto"/>
          <w:sz w:val="24"/>
          <w:highlight w:val="none"/>
        </w:rPr>
      </w:pPr>
      <w:bookmarkStart w:id="63" w:name="_Toc7613"/>
      <w:bookmarkStart w:id="64" w:name="_Toc24679"/>
      <w:bookmarkStart w:id="65" w:name="_Toc32494"/>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.1  各投标人必须在投标截止时间前发送加密的投标文件至采购人指定的邮箱（</w:t>
      </w:r>
      <w:r>
        <w:rPr>
          <w:rFonts w:hint="eastAsia" w:ascii="宋体" w:hAnsi="宋体" w:cs="宋体"/>
          <w:b/>
          <w:bCs/>
          <w:color w:val="auto"/>
          <w:sz w:val="24"/>
          <w:highlight w:val="none"/>
          <w:lang w:eastAsia="zh-CN"/>
        </w:rPr>
        <w:t>1151574641@qq.com</w:t>
      </w:r>
      <w:r>
        <w:rPr>
          <w:rFonts w:hint="eastAsia" w:ascii="宋体" w:hAnsi="宋体" w:cs="宋体"/>
          <w:color w:val="auto"/>
          <w:sz w:val="24"/>
          <w:highlight w:val="none"/>
        </w:rPr>
        <w:t>）。</w:t>
      </w:r>
      <w:bookmarkEnd w:id="63"/>
      <w:bookmarkEnd w:id="64"/>
      <w:bookmarkEnd w:id="65"/>
    </w:p>
    <w:p w14:paraId="283BEC29">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.2  各投标人需在开标前提前下载“腾讯会议”直播APP，参见开标会议，会议号：</w:t>
      </w:r>
      <w:r>
        <w:rPr>
          <w:rFonts w:hint="eastAsia" w:ascii="宋体" w:hAnsi="宋体" w:cs="宋体"/>
          <w:color w:val="auto"/>
          <w:sz w:val="24"/>
          <w:highlight w:val="none"/>
          <w:lang w:val="en-US" w:eastAsia="zh-CN"/>
        </w:rPr>
        <w:t>946-763-462</w:t>
      </w:r>
      <w:r>
        <w:rPr>
          <w:rFonts w:hint="eastAsia" w:ascii="宋体" w:hAnsi="宋体" w:cs="宋体"/>
          <w:color w:val="auto"/>
          <w:sz w:val="24"/>
          <w:highlight w:val="none"/>
        </w:rPr>
        <w:t>，直接观看直播和在线交流。各投标人自行准备相关硬件设备，确保网络畅通，音响保持正常使用状态。不得因未能观看到视频直播对开标会议提出质疑。</w:t>
      </w:r>
    </w:p>
    <w:p w14:paraId="5A77AA6D">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.3  投标人必须在投标文件</w:t>
      </w:r>
      <w:r>
        <w:rPr>
          <w:rFonts w:hint="eastAsia" w:ascii="宋体" w:hAnsi="宋体" w:cs="宋体"/>
          <w:b/>
          <w:bCs/>
          <w:color w:val="auto"/>
          <w:sz w:val="24"/>
          <w:highlight w:val="none"/>
        </w:rPr>
        <w:t>提交截止时间后15分钟内</w:t>
      </w:r>
      <w:r>
        <w:rPr>
          <w:rFonts w:hint="eastAsia" w:ascii="宋体" w:hAnsi="宋体" w:cs="宋体"/>
          <w:color w:val="auto"/>
          <w:sz w:val="24"/>
          <w:highlight w:val="none"/>
        </w:rPr>
        <w:t>，将投标文件的解密密码发送至采购人指定的邮箱，邮箱主题标明“</w:t>
      </w:r>
      <w:r>
        <w:rPr>
          <w:rFonts w:hint="eastAsia" w:ascii="宋体" w:hAnsi="宋体" w:cs="宋体"/>
          <w:b/>
          <w:bCs/>
          <w:color w:val="auto"/>
          <w:sz w:val="24"/>
          <w:highlight w:val="none"/>
        </w:rPr>
        <w:t>单位名称+解密密码</w:t>
      </w:r>
      <w:r>
        <w:rPr>
          <w:rFonts w:hint="eastAsia" w:ascii="宋体" w:hAnsi="宋体" w:cs="宋体"/>
          <w:color w:val="auto"/>
          <w:sz w:val="24"/>
          <w:highlight w:val="none"/>
        </w:rPr>
        <w:t>”字样，逾期未发送或因自身原因未能发送的，其投标无效。</w:t>
      </w:r>
    </w:p>
    <w:p w14:paraId="3ED0FF08">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.4  投标文件有下列情形之一的，将被拒绝接收：</w:t>
      </w:r>
    </w:p>
    <w:p w14:paraId="054888DC">
      <w:pPr>
        <w:keepNext w:val="0"/>
        <w:keepLines w:val="0"/>
        <w:pageBreakBefore w:val="0"/>
        <w:kinsoku/>
        <w:wordWrap/>
        <w:overflowPunct/>
        <w:topLinePunct w:val="0"/>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（1）投标人递交的投标文件和解密密码由不同邮箱发送的；</w:t>
      </w:r>
    </w:p>
    <w:p w14:paraId="1548F115">
      <w:pPr>
        <w:keepNext w:val="0"/>
        <w:keepLines w:val="0"/>
        <w:pageBreakBefore w:val="0"/>
        <w:kinsoku/>
        <w:wordWrap/>
        <w:overflowPunct/>
        <w:topLinePunct w:val="0"/>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（2）投标人递交的投标文件逾期到达或未发送至指定邮箱的；</w:t>
      </w:r>
    </w:p>
    <w:p w14:paraId="7F9666A7">
      <w:pPr>
        <w:keepNext w:val="0"/>
        <w:keepLines w:val="0"/>
        <w:pageBreakBefore w:val="0"/>
        <w:kinsoku/>
        <w:wordWrap/>
        <w:overflowPunct/>
        <w:topLinePunct w:val="0"/>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（3）投标人的解密密码在投标文件提交截止时间前发送的或在规定发送密码的截止时间后发送的；</w:t>
      </w:r>
    </w:p>
    <w:p w14:paraId="0F093948">
      <w:pPr>
        <w:pStyle w:val="41"/>
        <w:keepNext w:val="0"/>
        <w:keepLines w:val="0"/>
        <w:pageBreakBefore w:val="0"/>
        <w:kinsoku/>
        <w:wordWrap/>
        <w:overflowPunct/>
        <w:topLinePunct w:val="0"/>
        <w:bidi w:val="0"/>
        <w:adjustRightInd w:val="0"/>
        <w:snapToGrid w:val="0"/>
        <w:spacing w:line="360" w:lineRule="auto"/>
        <w:ind w:firstLine="482" w:firstLineChars="200"/>
        <w:textAlignment w:val="auto"/>
        <w:rPr>
          <w:rFonts w:hint="eastAsia" w:eastAsia="宋体"/>
          <w:b/>
          <w:bCs/>
          <w:color w:val="auto"/>
          <w:kern w:val="2"/>
          <w:highlight w:val="none"/>
        </w:rPr>
      </w:pPr>
      <w:r>
        <w:rPr>
          <w:rFonts w:hint="eastAsia" w:eastAsia="宋体"/>
          <w:b/>
          <w:bCs/>
          <w:color w:val="auto"/>
          <w:kern w:val="2"/>
          <w:highlight w:val="none"/>
        </w:rPr>
        <w:t>（4）解压后的文件无法正常打开；</w:t>
      </w:r>
    </w:p>
    <w:p w14:paraId="2117B19F">
      <w:pPr>
        <w:pStyle w:val="41"/>
        <w:keepNext w:val="0"/>
        <w:keepLines w:val="0"/>
        <w:pageBreakBefore w:val="0"/>
        <w:kinsoku/>
        <w:wordWrap/>
        <w:overflowPunct/>
        <w:topLinePunct w:val="0"/>
        <w:bidi w:val="0"/>
        <w:adjustRightInd w:val="0"/>
        <w:snapToGrid w:val="0"/>
        <w:spacing w:line="360" w:lineRule="auto"/>
        <w:ind w:firstLine="482" w:firstLineChars="200"/>
        <w:textAlignment w:val="auto"/>
        <w:rPr>
          <w:rFonts w:hint="eastAsia" w:eastAsia="宋体"/>
          <w:b/>
          <w:bCs/>
          <w:color w:val="auto"/>
          <w:kern w:val="2"/>
          <w:highlight w:val="none"/>
        </w:rPr>
      </w:pPr>
      <w:r>
        <w:rPr>
          <w:rFonts w:hint="eastAsia" w:eastAsia="宋体"/>
          <w:b/>
          <w:bCs/>
          <w:color w:val="auto"/>
          <w:kern w:val="2"/>
          <w:highlight w:val="none"/>
        </w:rPr>
        <w:t>（5）投标人递交的投标文件未加密的。</w:t>
      </w:r>
    </w:p>
    <w:p w14:paraId="4F8FA132">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.5  各投标人法定代表人或授权代表须持身份证原件出席视频直播会议，并保证在开标过程中随时出示，由采购人代表核验。</w:t>
      </w:r>
    </w:p>
    <w:p w14:paraId="15433140">
      <w:pPr>
        <w:keepNext w:val="0"/>
        <w:keepLines w:val="0"/>
        <w:pageBreakBefore w:val="0"/>
        <w:kinsoku/>
        <w:wordWrap/>
        <w:overflowPunct/>
        <w:topLinePunct w:val="0"/>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66" w:name="_Toc23649"/>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.投标截止时间、地点</w:t>
      </w:r>
      <w:bookmarkEnd w:id="66"/>
    </w:p>
    <w:p w14:paraId="536768BD">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.1  投标截止时间：</w:t>
      </w:r>
      <w:r>
        <w:rPr>
          <w:rFonts w:hint="eastAsia" w:ascii="宋体" w:hAnsi="宋体" w:cs="宋体"/>
          <w:bCs/>
          <w:color w:val="auto"/>
          <w:sz w:val="24"/>
          <w:highlight w:val="none"/>
        </w:rPr>
        <w:t>详见公告</w:t>
      </w:r>
      <w:r>
        <w:rPr>
          <w:rFonts w:hint="eastAsia" w:ascii="宋体" w:hAnsi="宋体" w:cs="宋体"/>
          <w:color w:val="auto"/>
          <w:sz w:val="24"/>
          <w:highlight w:val="none"/>
        </w:rPr>
        <w:t>。</w:t>
      </w:r>
    </w:p>
    <w:p w14:paraId="09918E47">
      <w:pPr>
        <w:pStyle w:val="22"/>
        <w:keepNext w:val="0"/>
        <w:keepLines w:val="0"/>
        <w:pageBreakBefore w:val="0"/>
        <w:kinsoku/>
        <w:wordWrap/>
        <w:overflowPunct/>
        <w:topLinePunct w:val="0"/>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1</w:t>
      </w:r>
      <w:r>
        <w:rPr>
          <w:rFonts w:hint="eastAsia"/>
          <w:color w:val="auto"/>
          <w:highlight w:val="none"/>
          <w:lang w:val="en-US" w:eastAsia="zh-CN"/>
        </w:rPr>
        <w:t>6</w:t>
      </w:r>
      <w:r>
        <w:rPr>
          <w:rFonts w:hint="eastAsia"/>
          <w:color w:val="auto"/>
          <w:highlight w:val="none"/>
        </w:rPr>
        <w:t xml:space="preserve">.2  </w:t>
      </w:r>
      <w:r>
        <w:rPr>
          <w:rFonts w:hint="eastAsia"/>
          <w:color w:val="auto"/>
          <w:kern w:val="2"/>
          <w:highlight w:val="none"/>
        </w:rPr>
        <w:t>投标递交地点：上传加密的投标文件至采购人指定邮箱：</w:t>
      </w:r>
      <w:r>
        <w:rPr>
          <w:rFonts w:hint="eastAsia"/>
          <w:color w:val="auto"/>
          <w:kern w:val="2"/>
          <w:highlight w:val="none"/>
          <w:lang w:eastAsia="zh-CN"/>
        </w:rPr>
        <w:t>1151574641@qq.com</w:t>
      </w:r>
      <w:r>
        <w:rPr>
          <w:rFonts w:hint="eastAsia"/>
          <w:color w:val="auto"/>
          <w:kern w:val="2"/>
          <w:highlight w:val="none"/>
        </w:rPr>
        <w:t>。</w:t>
      </w:r>
    </w:p>
    <w:p w14:paraId="2AABA28F">
      <w:pPr>
        <w:pStyle w:val="22"/>
        <w:keepNext w:val="0"/>
        <w:keepLines w:val="0"/>
        <w:pageBreakBefore w:val="0"/>
        <w:kinsoku/>
        <w:wordWrap/>
        <w:overflowPunct/>
        <w:topLinePunct w:val="0"/>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kern w:val="2"/>
          <w:highlight w:val="none"/>
        </w:rPr>
        <w:t>1</w:t>
      </w:r>
      <w:r>
        <w:rPr>
          <w:rFonts w:hint="eastAsia"/>
          <w:color w:val="auto"/>
          <w:kern w:val="2"/>
          <w:highlight w:val="none"/>
          <w:lang w:val="en-US" w:eastAsia="zh-CN"/>
        </w:rPr>
        <w:t>6</w:t>
      </w:r>
      <w:r>
        <w:rPr>
          <w:rFonts w:hint="eastAsia"/>
          <w:color w:val="auto"/>
          <w:kern w:val="2"/>
          <w:highlight w:val="none"/>
        </w:rPr>
        <w:t>.3  采购人或采购代理机构有权延长投标截止期。在此情况下，采购人和投标人受投标截止期制约的所有权利和义务均应延长至新的截止期。</w:t>
      </w:r>
    </w:p>
    <w:p w14:paraId="7019BDAD">
      <w:pPr>
        <w:keepNext w:val="0"/>
        <w:keepLines w:val="0"/>
        <w:pageBreakBefore w:val="0"/>
        <w:kinsoku/>
        <w:wordWrap/>
        <w:overflowPunct/>
        <w:topLinePunct w:val="0"/>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67" w:name="_Toc10432"/>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.投标文件的补充、修改、撤回、撤销</w:t>
      </w:r>
      <w:bookmarkEnd w:id="67"/>
    </w:p>
    <w:p w14:paraId="38212645">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.1  供应商在投标截止时间前，可以对所递交的响应性文件进行补充、修改或者撤回，并书面通知采购人或者采购代理机构。补充、修改的内容应当按照招标文件要求签署、盖章、密封后，作为响应性文件的组成部分。供应商应按规定重新编制发送，并在邮箱发送主题上标明“补充、修改”字样。投标截止时间之后，供应商不得修改或撤回响应性文件。</w:t>
      </w:r>
    </w:p>
    <w:p w14:paraId="71E32D8D">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.2  在投标截止期之后，投标人不得对其投标文件做任何修改。</w:t>
      </w:r>
    </w:p>
    <w:p w14:paraId="793844B0">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.3  投标有效期内，投标人如撤销其投标，将按招标文件规定予以处理。</w:t>
      </w:r>
    </w:p>
    <w:p w14:paraId="5279130E">
      <w:pPr>
        <w:spacing w:before="80" w:beforeLines="25" w:after="80" w:afterLines="25"/>
        <w:jc w:val="center"/>
        <w:outlineLvl w:val="1"/>
        <w:rPr>
          <w:rFonts w:hint="eastAsia" w:ascii="宋体" w:hAnsi="宋体" w:cs="宋体"/>
          <w:b/>
          <w:bCs/>
          <w:color w:val="auto"/>
          <w:sz w:val="30"/>
          <w:szCs w:val="30"/>
          <w:highlight w:val="none"/>
        </w:rPr>
      </w:pPr>
      <w:bookmarkStart w:id="68" w:name="_Toc1940"/>
      <w:bookmarkStart w:id="69" w:name="_Toc4575"/>
      <w:bookmarkStart w:id="70" w:name="_Toc10259"/>
      <w:bookmarkStart w:id="71" w:name="_Toc22058"/>
      <w:bookmarkStart w:id="72" w:name="_Toc2555"/>
      <w:r>
        <w:rPr>
          <w:rFonts w:hint="eastAsia" w:ascii="宋体" w:hAnsi="宋体" w:cs="宋体"/>
          <w:b/>
          <w:bCs/>
          <w:color w:val="auto"/>
          <w:sz w:val="30"/>
          <w:szCs w:val="30"/>
          <w:highlight w:val="none"/>
        </w:rPr>
        <w:t>五、开标</w:t>
      </w:r>
      <w:bookmarkEnd w:id="68"/>
      <w:bookmarkEnd w:id="69"/>
      <w:bookmarkEnd w:id="70"/>
      <w:bookmarkEnd w:id="71"/>
      <w:bookmarkEnd w:id="72"/>
    </w:p>
    <w:p w14:paraId="217CF5F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73" w:name="_Toc5193"/>
      <w:bookmarkStart w:id="74" w:name="_Toc20788"/>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8</w:t>
      </w:r>
      <w:r>
        <w:rPr>
          <w:rFonts w:hint="eastAsia" w:ascii="宋体" w:hAnsi="宋体" w:cs="宋体"/>
          <w:b/>
          <w:bCs/>
          <w:color w:val="auto"/>
          <w:sz w:val="24"/>
          <w:highlight w:val="none"/>
        </w:rPr>
        <w:t>.</w:t>
      </w:r>
      <w:r>
        <w:rPr>
          <w:rFonts w:hint="eastAsia" w:ascii="宋体" w:hAnsi="宋体" w:cs="宋体"/>
          <w:b/>
          <w:color w:val="auto"/>
          <w:sz w:val="24"/>
          <w:highlight w:val="none"/>
        </w:rPr>
        <w:t>开标时间、地点</w:t>
      </w:r>
      <w:bookmarkEnd w:id="73"/>
      <w:bookmarkEnd w:id="74"/>
    </w:p>
    <w:p w14:paraId="52FE02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.1  开标时间：同投标文件递交截止时间。</w:t>
      </w:r>
    </w:p>
    <w:p w14:paraId="1A7834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.2  开标地点：网上开标，</w:t>
      </w:r>
      <w:r>
        <w:rPr>
          <w:rFonts w:hint="eastAsia" w:ascii="宋体" w:hAnsi="宋体" w:cs="宋体"/>
          <w:b/>
          <w:bCs/>
          <w:color w:val="auto"/>
          <w:sz w:val="24"/>
          <w:highlight w:val="none"/>
        </w:rPr>
        <w:t>腾讯会议号：</w:t>
      </w:r>
      <w:r>
        <w:rPr>
          <w:rFonts w:hint="eastAsia" w:ascii="宋体" w:hAnsi="宋体" w:cs="宋体"/>
          <w:color w:val="auto"/>
          <w:sz w:val="24"/>
          <w:highlight w:val="none"/>
          <w:lang w:val="en-US" w:eastAsia="zh-CN"/>
        </w:rPr>
        <w:t>946-763-462</w:t>
      </w:r>
      <w:r>
        <w:rPr>
          <w:rFonts w:hint="eastAsia" w:ascii="宋体" w:hAnsi="宋体" w:cs="宋体"/>
          <w:b/>
          <w:bCs/>
          <w:color w:val="auto"/>
          <w:sz w:val="24"/>
          <w:highlight w:val="none"/>
        </w:rPr>
        <w:t>。</w:t>
      </w:r>
    </w:p>
    <w:p w14:paraId="287B4A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.3  开标时邀请所有投标人代表、采购人和有关方面代表参加。</w:t>
      </w:r>
    </w:p>
    <w:p w14:paraId="7A65F3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.4  工作人员进入指定邮箱下载各投标人的投标文件，宣读投标人名称、投标价格等主要内容。如同一投标人在投标截止时间之前发送了两份或多份投标文件，则以最后发送的投标文件为准。对于投标人在投标截止期前递交的投标声明，在开标时当众宣读，评标时有效。</w:t>
      </w:r>
    </w:p>
    <w:p w14:paraId="7408EE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未宣读的投标价格、价格折扣等实质内容，评标时不予承认。</w:t>
      </w:r>
    </w:p>
    <w:p w14:paraId="5172CD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bookmarkStart w:id="75" w:name="_Toc28467"/>
      <w:bookmarkStart w:id="76" w:name="_Toc21048"/>
      <w:bookmarkStart w:id="77" w:name="_Toc18044"/>
      <w:bookmarkStart w:id="78" w:name="_Toc15555"/>
      <w:bookmarkStart w:id="79" w:name="_Toc19719"/>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.5  除了按照本须知的规定原封退回迟到的响应性文件之外，开标时将不得拒绝任何投标。</w:t>
      </w:r>
    </w:p>
    <w:p w14:paraId="438CB6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.6  采购代理机构将对唱标内容做开标记录。</w:t>
      </w:r>
    </w:p>
    <w:p w14:paraId="0D3653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.7  供应商在报价时不允许采用选择性报价，否则将被视为无效投标。</w:t>
      </w:r>
    </w:p>
    <w:p w14:paraId="4C2384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.8  供应商代表对开标过程和开标记录有疑义，以及认为采购人、采购代理机构相关工作人员有需要回避的情形的，应当场提出询问或者回避申请。采购人、采购代理机构对供应商代表提出的询问或者回避申请应当及时处理。</w:t>
      </w:r>
    </w:p>
    <w:p w14:paraId="78AE6A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.9  供应商未参加开标的，视同认可开标结果。</w:t>
      </w:r>
    </w:p>
    <w:p w14:paraId="072D5C3F">
      <w:pPr>
        <w:spacing w:before="80" w:beforeLines="25" w:after="80" w:afterLines="25"/>
        <w:jc w:val="center"/>
        <w:outlineLvl w:val="1"/>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六、资格审查</w:t>
      </w:r>
      <w:bookmarkEnd w:id="75"/>
      <w:bookmarkEnd w:id="76"/>
      <w:bookmarkEnd w:id="77"/>
      <w:bookmarkEnd w:id="78"/>
      <w:bookmarkEnd w:id="79"/>
    </w:p>
    <w:p w14:paraId="4778621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outlineLvl w:val="2"/>
        <w:rPr>
          <w:rFonts w:hint="eastAsia" w:ascii="宋体" w:hAnsi="宋体" w:cs="宋体"/>
          <w:b/>
          <w:bCs/>
          <w:color w:val="auto"/>
          <w:sz w:val="24"/>
          <w:highlight w:val="none"/>
        </w:rPr>
      </w:pPr>
      <w:bookmarkStart w:id="80" w:name="_Toc14055"/>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rPr>
        <w:t>.资格审查组织</w:t>
      </w:r>
      <w:bookmarkEnd w:id="80"/>
    </w:p>
    <w:p w14:paraId="2FF0FA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.1  公开招标采购项目开标结束后，采购人和采购代理机构共同对投标人的资格进行审查，合格投标人不足3家的，不得评标。</w:t>
      </w:r>
    </w:p>
    <w:p w14:paraId="4DEE58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.2  采购人和代理机构在进行资格性审查的同时，将在全国法院失信被执行人名单信息公布与查询平台（http://zxgk.court.gov.cn/shixin/）和“信用中国”网站（www.creditchina.gov.cn）对供应商是否被列入失信被执行人、重大税收违法失信主体、政府采购严重失信行为记录名单情况进行查询，列入名单的供应商不具备投标资格。</w:t>
      </w:r>
      <w:r>
        <w:rPr>
          <w:rFonts w:hint="eastAsia" w:ascii="宋体" w:hAnsi="宋体" w:eastAsia="宋体" w:cs="宋体"/>
          <w:color w:val="auto"/>
          <w:sz w:val="24"/>
          <w:highlight w:val="none"/>
        </w:rPr>
        <w:t>查询结果将以网页打印的形式留存并归档。</w:t>
      </w:r>
    </w:p>
    <w:p w14:paraId="674F14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 投标单位的投标产品应符合规定的相应技术、安全、专业性能等标准；投标产品必须符合国家相关技术规范；</w:t>
      </w:r>
    </w:p>
    <w:p w14:paraId="4925BA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.4 拥有能够保障项目实施和服务的技术支持和售后服务能力；</w:t>
      </w:r>
    </w:p>
    <w:p w14:paraId="7150C1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xml:space="preserve">  资格审查标准：依据法规政策和招标文件的规定，对投标人进行资格审查，以确定其是否具备投标资格。投标人存在以下情形之一的，资格审查不合格，其投标无效：</w:t>
      </w:r>
    </w:p>
    <w:p w14:paraId="12E1F2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（1）未提供书面声明的；</w:t>
      </w:r>
    </w:p>
    <w:p w14:paraId="59C59B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（2）未提供营业执照扫描件或虽提供但已失效的；</w:t>
      </w:r>
    </w:p>
    <w:p w14:paraId="281E19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rPr>
      </w:pPr>
      <w:r>
        <w:rPr>
          <w:rFonts w:hint="eastAsia" w:ascii="宋体" w:hAnsi="宋体" w:eastAsia="宋体" w:cs="宋体"/>
          <w:color w:val="auto"/>
          <w:sz w:val="24"/>
          <w:highlight w:val="none"/>
        </w:rPr>
        <w:t>（3）投标人被全国法院失信被执行人名单</w:t>
      </w:r>
      <w:r>
        <w:rPr>
          <w:rFonts w:hint="eastAsia" w:ascii="宋体" w:hAnsi="宋体" w:cs="宋体"/>
          <w:color w:val="auto"/>
          <w:sz w:val="24"/>
          <w:highlight w:val="none"/>
        </w:rPr>
        <w:t>信息公布与查询平台（http://zxgk.court.gov.cn/shixin/）列入失信被执行人，或投标人被“信用中国”网站（www.creditchina.gov.cn）列入重大税收违法失信主体、政府采购严重失信行为记录名单；</w:t>
      </w:r>
    </w:p>
    <w:p w14:paraId="398196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（4）单位负责人为同一个人或者存在直接控股、管理关系的不同投标人，在本合同项下同时投标；</w:t>
      </w:r>
    </w:p>
    <w:p w14:paraId="2C2E09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（5）以联合体方式投标的；</w:t>
      </w:r>
    </w:p>
    <w:p w14:paraId="583C8EF7">
      <w:pPr>
        <w:spacing w:before="80" w:beforeLines="25" w:after="80" w:afterLines="25"/>
        <w:jc w:val="center"/>
        <w:outlineLvl w:val="1"/>
        <w:rPr>
          <w:rFonts w:hint="eastAsia" w:ascii="宋体" w:hAnsi="宋体" w:cs="宋体"/>
          <w:b/>
          <w:bCs/>
          <w:color w:val="auto"/>
          <w:sz w:val="30"/>
          <w:szCs w:val="30"/>
          <w:highlight w:val="none"/>
        </w:rPr>
      </w:pPr>
      <w:bookmarkStart w:id="81" w:name="_Toc13481"/>
      <w:bookmarkStart w:id="82" w:name="_Toc20503"/>
      <w:bookmarkStart w:id="83" w:name="_Toc17693"/>
      <w:bookmarkStart w:id="84" w:name="_Toc2386"/>
      <w:bookmarkStart w:id="85" w:name="_Toc5191"/>
      <w:r>
        <w:rPr>
          <w:rFonts w:hint="eastAsia" w:ascii="宋体" w:hAnsi="宋体" w:cs="宋体"/>
          <w:b/>
          <w:bCs/>
          <w:color w:val="auto"/>
          <w:sz w:val="30"/>
          <w:szCs w:val="30"/>
          <w:highlight w:val="none"/>
        </w:rPr>
        <w:t>七、评标</w:t>
      </w:r>
      <w:bookmarkEnd w:id="81"/>
      <w:bookmarkEnd w:id="82"/>
      <w:bookmarkEnd w:id="83"/>
      <w:bookmarkEnd w:id="84"/>
      <w:bookmarkEnd w:id="85"/>
    </w:p>
    <w:p w14:paraId="1141BB3F">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86" w:name="_Toc25136"/>
      <w:r>
        <w:rPr>
          <w:rFonts w:hint="eastAsia" w:ascii="宋体" w:hAnsi="宋体" w:cs="宋体"/>
          <w:b/>
          <w:bCs/>
          <w:color w:val="auto"/>
          <w:sz w:val="24"/>
          <w:highlight w:val="none"/>
          <w:lang w:val="en-US" w:eastAsia="zh-CN"/>
        </w:rPr>
        <w:t>20</w:t>
      </w:r>
      <w:r>
        <w:rPr>
          <w:rFonts w:hint="eastAsia" w:ascii="宋体" w:hAnsi="宋体" w:cs="宋体"/>
          <w:b/>
          <w:bCs/>
          <w:color w:val="auto"/>
          <w:sz w:val="24"/>
          <w:highlight w:val="none"/>
        </w:rPr>
        <w:t>.评标委员会</w:t>
      </w:r>
      <w:bookmarkEnd w:id="86"/>
    </w:p>
    <w:p w14:paraId="288D9DAA">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lang w:val="en-US" w:eastAsia="zh-CN"/>
        </w:rPr>
        <w:t>20</w:t>
      </w:r>
      <w:r>
        <w:rPr>
          <w:rFonts w:hint="eastAsia"/>
          <w:color w:val="auto"/>
          <w:highlight w:val="none"/>
        </w:rPr>
        <w:t>.1  评标委员会由采购人代表和评审专家组成，成员人数应当为</w:t>
      </w:r>
      <w:r>
        <w:rPr>
          <w:rFonts w:hint="eastAsia"/>
          <w:color w:val="auto"/>
          <w:highlight w:val="none"/>
          <w:lang w:val="en-US" w:eastAsia="zh-CN"/>
        </w:rPr>
        <w:t>7</w:t>
      </w:r>
      <w:r>
        <w:rPr>
          <w:rFonts w:hint="eastAsia"/>
          <w:color w:val="auto"/>
          <w:highlight w:val="none"/>
        </w:rPr>
        <w:t>人以上单数，其中评审专家不得少于成员总数的三分之二。评审专家通过随机方式从采购评审专家库中抽取。</w:t>
      </w:r>
    </w:p>
    <w:p w14:paraId="7C610EC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lang w:val="en-US" w:eastAsia="zh-CN"/>
        </w:rPr>
        <w:t>20</w:t>
      </w:r>
      <w:r>
        <w:rPr>
          <w:rFonts w:hint="eastAsia"/>
          <w:color w:val="auto"/>
          <w:highlight w:val="none"/>
        </w:rPr>
        <w:t>.2  评审专家对本单位的采购项目只能作为采购人代表参与评标。出席开标活动的采购人代表不得参加评标委员会。采购代理机构工作人员不得参加由本机构代理的采购项目的评标。</w:t>
      </w:r>
    </w:p>
    <w:p w14:paraId="21C656C8">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lang w:val="en-US" w:eastAsia="zh-CN"/>
        </w:rPr>
        <w:t>20</w:t>
      </w:r>
      <w:r>
        <w:rPr>
          <w:rFonts w:hint="eastAsia"/>
          <w:color w:val="auto"/>
          <w:highlight w:val="none"/>
        </w:rPr>
        <w:t>.3  评标委员会成员名单在评标结果公告前应当保密。</w:t>
      </w:r>
    </w:p>
    <w:p w14:paraId="4F4A875C">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87" w:name="_Toc6759"/>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.组织评标</w:t>
      </w:r>
      <w:bookmarkEnd w:id="87"/>
    </w:p>
    <w:p w14:paraId="2AFF116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采购人或者采购代理机构负责组织评标工作，并履行下列职责：</w:t>
      </w:r>
    </w:p>
    <w:p w14:paraId="5C85E8B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.1  核对评审专家身份和采购人代表授权函，对评审专家在采购活动中的职责履行情况予以记录，并及时将有关违法违规行为向监督部门报告；</w:t>
      </w:r>
    </w:p>
    <w:p w14:paraId="3BB6BBB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.2  宣布评标纪律；</w:t>
      </w:r>
    </w:p>
    <w:p w14:paraId="47FE8F55">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.3  公布投标人名单，告知评审专家应当回避的情形；</w:t>
      </w:r>
    </w:p>
    <w:p w14:paraId="3BF3E3C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.4  组织评标委员会推选评标组长，采购人代表不得担任组长；</w:t>
      </w:r>
    </w:p>
    <w:p w14:paraId="3BD9CF2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.5  在评标期间采取必要的通讯管理措施，保证评标活动不受外界干扰；</w:t>
      </w:r>
    </w:p>
    <w:p w14:paraId="463E8B5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.6  根据评标委员会的要求介绍相关政策法规、招标文件；</w:t>
      </w:r>
    </w:p>
    <w:p w14:paraId="14990E3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.7  维护评标秩序，监督评标委员会依照招标文件规定的评标程序、方法和标准进行独立评审，及时制止和纠正采购人代表、评审专家的倾向性言论或者违法违规行为；</w:t>
      </w:r>
    </w:p>
    <w:p w14:paraId="6F7912F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.8  核对评标结果，评标结果汇总完成后，任何人不得修改评标结果，除下列情形外：1）分值汇总计算错误的；2）分项评分超出评分标准范围的；3）评标委员会成员对客观评审因素评分不一致的；4）经评标委员会认定评分畸高、畸低的。要求评标委员会复核或者书面说明理由，评标委员会拒绝的，应予记录并向监督部门报告；</w:t>
      </w:r>
    </w:p>
    <w:p w14:paraId="36CD286D">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.9  评审工作完成后，按照规定向评审专家支付劳务报酬和异地评审差旅费，不得向评审专家以外的其他人员支付评审劳务报酬；</w:t>
      </w:r>
    </w:p>
    <w:p w14:paraId="09DF22D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.10  处理与评标有关的其他事项。</w:t>
      </w:r>
    </w:p>
    <w:p w14:paraId="2FB0315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采购人或采购代理机构可以在评标前说明项目背景和采购需求，说明内容不得含有歧视性、倾向性意见，不得超出招标文件所述范围。说明应当提交书面材料，并随采购文件一并存档。</w:t>
      </w:r>
    </w:p>
    <w:p w14:paraId="51D67FD9">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88" w:name="_Toc20428"/>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.评标委员会评标事务和履行职责</w:t>
      </w:r>
      <w:bookmarkEnd w:id="88"/>
    </w:p>
    <w:p w14:paraId="504E3BD8">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评标委员会负责具体评标事务，并独立履行下列职责：</w:t>
      </w:r>
    </w:p>
    <w:p w14:paraId="5411807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.1  审查、评价投标文件是否符合招标文件的商务、技术等实质性要求；</w:t>
      </w:r>
    </w:p>
    <w:p w14:paraId="191AD58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  要求投标人对投标文件有关事项作出澄清或者说明；</w:t>
      </w:r>
    </w:p>
    <w:p w14:paraId="570C884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  对投标文件进行比较和评价；</w:t>
      </w:r>
    </w:p>
    <w:p w14:paraId="4189AB5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.4  确定中标候选人名单，或者根据采购人委托直接确定中标人；</w:t>
      </w:r>
    </w:p>
    <w:p w14:paraId="6E42C13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.5  向采购人、采购代理机构或者有关部门报告评标中发现的违法行为。</w:t>
      </w:r>
    </w:p>
    <w:p w14:paraId="78BD3EB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89" w:name="_Toc29748"/>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.符合性审查</w:t>
      </w:r>
      <w:bookmarkEnd w:id="89"/>
    </w:p>
    <w:p w14:paraId="037288F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b/>
          <w:bCs/>
          <w:color w:val="auto"/>
          <w:highlight w:val="none"/>
        </w:rPr>
      </w:pPr>
      <w:r>
        <w:rPr>
          <w:rFonts w:hint="eastAsia"/>
          <w:color w:val="auto"/>
          <w:highlight w:val="none"/>
        </w:rPr>
        <w:t>评标委员会应当对符合资格的投标人的投标文件进行符合性审查，以确定其是否满足招标文件的实质性要求。</w:t>
      </w:r>
    </w:p>
    <w:p w14:paraId="3D22BCB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90" w:name="_Toc23843"/>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.无效标条款</w:t>
      </w:r>
      <w:bookmarkEnd w:id="90"/>
    </w:p>
    <w:p w14:paraId="3538DDF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投标人存在下列情况之一的，投标无效：</w:t>
      </w:r>
    </w:p>
    <w:p w14:paraId="48DB4FA8">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  投标文件未按招标文件要求签署、盖章的；</w:t>
      </w:r>
    </w:p>
    <w:p w14:paraId="2163E06D">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.2  不具备招标文件中规定的资格要求的；</w:t>
      </w:r>
    </w:p>
    <w:p w14:paraId="699BEBF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.3  报价超过招标文件中规定的预算金额或者最高限价的；</w:t>
      </w:r>
    </w:p>
    <w:p w14:paraId="0F2B8B9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.4  投标文件含有采购人不能接受的附加条件的；</w:t>
      </w:r>
    </w:p>
    <w:p w14:paraId="1BAFE8C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SA"/>
        </w:rPr>
        <w:t xml:space="preserve">24.5  </w:t>
      </w:r>
      <w:r>
        <w:rPr>
          <w:rFonts w:hint="eastAsia" w:ascii="宋体" w:hAnsi="宋体" w:cs="宋体"/>
          <w:color w:val="auto"/>
          <w:sz w:val="24"/>
          <w:highlight w:val="none"/>
        </w:rPr>
        <w:t>未按招标文件规定报价的；</w:t>
      </w:r>
    </w:p>
    <w:p w14:paraId="0D72AF2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SA"/>
        </w:rPr>
        <w:t xml:space="preserve">24.6 </w:t>
      </w:r>
      <w:r>
        <w:rPr>
          <w:rFonts w:hint="eastAsia" w:ascii="宋体" w:hAnsi="宋体" w:cs="宋体"/>
          <w:color w:val="auto"/>
          <w:sz w:val="24"/>
          <w:highlight w:val="none"/>
        </w:rPr>
        <w:t xml:space="preserve"> 投标有效期、供货时间、质保期等不满足招标文件要求的；</w:t>
      </w:r>
    </w:p>
    <w:p w14:paraId="279F056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highlight w:val="none"/>
        </w:rPr>
      </w:pPr>
      <w:r>
        <w:rPr>
          <w:rFonts w:hint="eastAsia"/>
          <w:color w:val="auto"/>
          <w:highlight w:val="none"/>
        </w:rPr>
        <w:t>2</w:t>
      </w:r>
      <w:r>
        <w:rPr>
          <w:rFonts w:hint="eastAsia"/>
          <w:color w:val="auto"/>
          <w:highlight w:val="none"/>
          <w:lang w:val="en-US" w:eastAsia="zh-CN"/>
        </w:rPr>
        <w:t>4</w:t>
      </w:r>
      <w:r>
        <w:rPr>
          <w:rFonts w:hint="eastAsia" w:ascii="宋体" w:hAnsi="宋体" w:eastAsia="宋体" w:cs="宋体"/>
          <w:color w:val="auto"/>
          <w:highlight w:val="none"/>
        </w:rPr>
        <w:t>.7  不符合招标文件中规定的其它实质性条款；</w:t>
      </w:r>
    </w:p>
    <w:p w14:paraId="4E93F1E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highlight w:val="none"/>
          <w:lang w:val="en-US" w:eastAsia="zh-CN"/>
        </w:rPr>
      </w:pPr>
      <w:r>
        <w:rPr>
          <w:rFonts w:hint="eastAsia"/>
          <w:color w:val="auto"/>
          <w:highlight w:val="none"/>
        </w:rPr>
        <w:t>2</w:t>
      </w:r>
      <w:r>
        <w:rPr>
          <w:rFonts w:hint="eastAsia"/>
          <w:color w:val="auto"/>
          <w:highlight w:val="none"/>
          <w:lang w:val="en-US" w:eastAsia="zh-CN"/>
        </w:rPr>
        <w:t>4</w:t>
      </w:r>
      <w:r>
        <w:rPr>
          <w:rFonts w:hint="eastAsia" w:ascii="宋体" w:hAnsi="宋体" w:eastAsia="宋体" w:cs="宋体"/>
          <w:color w:val="auto"/>
          <w:highlight w:val="none"/>
          <w:lang w:val="en-US" w:eastAsia="zh-CN"/>
        </w:rPr>
        <w:t>.8  投标保证金未按规定要求缴纳的；</w:t>
      </w:r>
    </w:p>
    <w:p w14:paraId="43B157D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highlight w:val="none"/>
        </w:rPr>
      </w:pPr>
      <w:r>
        <w:rPr>
          <w:rFonts w:hint="eastAsia"/>
          <w:color w:val="auto"/>
          <w:highlight w:val="none"/>
        </w:rPr>
        <w:t>2</w:t>
      </w:r>
      <w:r>
        <w:rPr>
          <w:rFonts w:hint="eastAsia"/>
          <w:color w:val="auto"/>
          <w:highlight w:val="none"/>
          <w:lang w:val="en-US" w:eastAsia="zh-CN"/>
        </w:rPr>
        <w:t>4</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  投标人未遵循公平竞争的原则，恶意串通，妨碍其他投标人的竞争行为，损害采购人或者其他投标人的合法权益的；</w:t>
      </w:r>
    </w:p>
    <w:p w14:paraId="1530FA8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10</w:t>
      </w:r>
      <w:r>
        <w:rPr>
          <w:rFonts w:hint="eastAsia"/>
          <w:color w:val="auto"/>
          <w:highlight w:val="none"/>
        </w:rPr>
        <w:t xml:space="preserve">  有下列情形之一的，视为投标人串通投标，其投标无效：</w:t>
      </w:r>
    </w:p>
    <w:p w14:paraId="4696E7F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（1）不同投标人的投标文件由同一单位或者个人编制；</w:t>
      </w:r>
    </w:p>
    <w:p w14:paraId="2C9DA48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（2）不同投标人委托同一单位或者个人办理投标事宜；</w:t>
      </w:r>
    </w:p>
    <w:p w14:paraId="1A888F1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（3）不同投标人的投标文件载明的项目管理成员或者联系人员为同一人；</w:t>
      </w:r>
    </w:p>
    <w:p w14:paraId="6AFDBDA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（4）不同投标人的投标文件异常一致或者投标报价呈规律性差异；</w:t>
      </w:r>
    </w:p>
    <w:p w14:paraId="13699C77">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（5）不同投标人的投标文件相互混装。</w:t>
      </w:r>
    </w:p>
    <w:p w14:paraId="291733C7">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w:t>
      </w:r>
      <w:r>
        <w:rPr>
          <w:rFonts w:hint="eastAsia"/>
          <w:color w:val="auto"/>
          <w:highlight w:val="none"/>
          <w:lang w:val="en-US" w:eastAsia="zh-CN"/>
        </w:rPr>
        <w:t>1</w:t>
      </w:r>
      <w:r>
        <w:rPr>
          <w:rFonts w:hint="eastAsia"/>
          <w:color w:val="auto"/>
          <w:highlight w:val="none"/>
        </w:rPr>
        <w:t xml:space="preserve">  投标人递交两份或多份内容不同的投标文件，或在一份投标文件中对同一招标项目报有两个或多个报价，且未声明哪一个有效，按招标文件规定提交备选方案的除外；</w:t>
      </w:r>
    </w:p>
    <w:p w14:paraId="4A1A602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w:t>
      </w:r>
      <w:r>
        <w:rPr>
          <w:rFonts w:hint="eastAsia"/>
          <w:color w:val="auto"/>
          <w:highlight w:val="none"/>
          <w:lang w:val="en-US" w:eastAsia="zh-CN"/>
        </w:rPr>
        <w:t>2</w:t>
      </w:r>
      <w:r>
        <w:rPr>
          <w:rFonts w:hint="eastAsia"/>
          <w:color w:val="auto"/>
          <w:highlight w:val="none"/>
        </w:rPr>
        <w:t xml:space="preserve">  投标文件未加密的，或者在规定时段内未发送解密密码的；</w:t>
      </w:r>
    </w:p>
    <w:p w14:paraId="02C8322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w:t>
      </w:r>
      <w:r>
        <w:rPr>
          <w:rFonts w:hint="eastAsia"/>
          <w:color w:val="auto"/>
          <w:highlight w:val="none"/>
          <w:lang w:val="en-US" w:eastAsia="zh-CN"/>
        </w:rPr>
        <w:t>3</w:t>
      </w:r>
      <w:r>
        <w:rPr>
          <w:rFonts w:hint="eastAsia"/>
          <w:color w:val="auto"/>
          <w:highlight w:val="none"/>
        </w:rPr>
        <w:t xml:space="preserve">  因PDF文档不清晰让评标委员会无法评审的；</w:t>
      </w:r>
    </w:p>
    <w:p w14:paraId="57D2E2DD">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w:t>
      </w:r>
      <w:r>
        <w:rPr>
          <w:rFonts w:hint="eastAsia"/>
          <w:color w:val="auto"/>
          <w:highlight w:val="none"/>
          <w:lang w:val="en-US" w:eastAsia="zh-CN"/>
        </w:rPr>
        <w:t>4</w:t>
      </w:r>
      <w:r>
        <w:rPr>
          <w:rFonts w:hint="eastAsia"/>
          <w:color w:val="auto"/>
          <w:highlight w:val="none"/>
        </w:rPr>
        <w:t xml:space="preserve">  未按招标文件要求制作投标文件PDF的；</w:t>
      </w:r>
    </w:p>
    <w:p w14:paraId="47EA6704">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w:t>
      </w:r>
      <w:r>
        <w:rPr>
          <w:rFonts w:hint="eastAsia"/>
          <w:color w:val="auto"/>
          <w:highlight w:val="none"/>
          <w:lang w:val="en-US" w:eastAsia="zh-CN"/>
        </w:rPr>
        <w:t>5</w:t>
      </w:r>
      <w:r>
        <w:rPr>
          <w:rFonts w:hint="eastAsia"/>
          <w:color w:val="auto"/>
          <w:highlight w:val="none"/>
        </w:rPr>
        <w:t xml:space="preserve">  不同投标人的投标文件由同一邮箱发送投标文件的；</w:t>
      </w:r>
    </w:p>
    <w:p w14:paraId="01BF0C9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w:t>
      </w:r>
      <w:r>
        <w:rPr>
          <w:rFonts w:hint="eastAsia"/>
          <w:color w:val="auto"/>
          <w:highlight w:val="none"/>
          <w:lang w:val="en-US" w:eastAsia="zh-CN"/>
        </w:rPr>
        <w:t>6</w:t>
      </w:r>
      <w:r>
        <w:rPr>
          <w:rFonts w:hint="eastAsia"/>
          <w:color w:val="auto"/>
          <w:highlight w:val="none"/>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4DF548D">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w:t>
      </w:r>
      <w:r>
        <w:rPr>
          <w:rFonts w:hint="eastAsia"/>
          <w:color w:val="auto"/>
          <w:highlight w:val="none"/>
          <w:lang w:val="en-US" w:eastAsia="zh-CN"/>
        </w:rPr>
        <w:t>7</w:t>
      </w:r>
      <w:r>
        <w:rPr>
          <w:rFonts w:hint="eastAsia"/>
          <w:color w:val="auto"/>
          <w:highlight w:val="none"/>
        </w:rPr>
        <w:t xml:space="preserve">  法律、法规和招标文件规定的其他无效情形。</w:t>
      </w:r>
    </w:p>
    <w:p w14:paraId="2491D09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hint="eastAsia"/>
          <w:b/>
          <w:bCs/>
          <w:color w:val="auto"/>
          <w:highlight w:val="none"/>
        </w:rPr>
      </w:pPr>
      <w:r>
        <w:rPr>
          <w:rFonts w:hint="eastAsia"/>
          <w:b/>
          <w:bCs/>
          <w:color w:val="auto"/>
          <w:highlight w:val="none"/>
        </w:rPr>
        <w:t>2</w:t>
      </w:r>
      <w:r>
        <w:rPr>
          <w:rFonts w:hint="eastAsia"/>
          <w:b/>
          <w:bCs/>
          <w:color w:val="auto"/>
          <w:highlight w:val="none"/>
          <w:lang w:val="en-US" w:eastAsia="zh-CN"/>
        </w:rPr>
        <w:t>5</w:t>
      </w:r>
      <w:r>
        <w:rPr>
          <w:rFonts w:hint="eastAsia"/>
          <w:b/>
          <w:bCs/>
          <w:color w:val="auto"/>
          <w:highlight w:val="none"/>
        </w:rPr>
        <w:t>.澄清、说明或者补正</w:t>
      </w:r>
    </w:p>
    <w:p w14:paraId="1B614624">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5</w:t>
      </w:r>
      <w:r>
        <w:rPr>
          <w:rFonts w:hint="eastAsia"/>
          <w:color w:val="auto"/>
          <w:highlight w:val="none"/>
        </w:rPr>
        <w:t>.1  对于投标文件中含义不明确、同类问题表述不一致或者有明显文字和计算错误的内容，评标委员会应当以书面形式要求投标人作出必要的澄清、说明或者补正。</w:t>
      </w:r>
    </w:p>
    <w:p w14:paraId="6B5499A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5</w:t>
      </w:r>
      <w:r>
        <w:rPr>
          <w:rFonts w:hint="eastAsia"/>
          <w:color w:val="auto"/>
          <w:highlight w:val="none"/>
        </w:rPr>
        <w:t>.2  投标人的澄清、说明或者补正应当采用书面形式，并加盖公章，或者由法定代表人或其授权的代表签字。投标人的澄清、说明或者补正不得超出投标文件的范围或者改变投标文件的实质性内容。</w:t>
      </w:r>
    </w:p>
    <w:p w14:paraId="5267722F">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91" w:name="_Toc29711"/>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.投标文件报价修正</w:t>
      </w:r>
      <w:bookmarkEnd w:id="91"/>
    </w:p>
    <w:p w14:paraId="1136D47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投标文件报价出现前后不一致的，按照下列规定修正：</w:t>
      </w:r>
    </w:p>
    <w:p w14:paraId="426FE67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6</w:t>
      </w:r>
      <w:r>
        <w:rPr>
          <w:rFonts w:hint="eastAsia"/>
          <w:color w:val="auto"/>
          <w:highlight w:val="none"/>
        </w:rPr>
        <w:t>.1  投标文件中开标一览表（报价表）内容与投标文件中相应内容不一致的，以开标一览表（报价表）为准；</w:t>
      </w:r>
    </w:p>
    <w:p w14:paraId="05ED653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6</w:t>
      </w:r>
      <w:r>
        <w:rPr>
          <w:rFonts w:hint="eastAsia"/>
          <w:color w:val="auto"/>
          <w:highlight w:val="none"/>
        </w:rPr>
        <w:t>.2  大写金额和小写金额不一致的，以大写金额为准；</w:t>
      </w:r>
    </w:p>
    <w:p w14:paraId="1FFB798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6</w:t>
      </w:r>
      <w:r>
        <w:rPr>
          <w:rFonts w:hint="eastAsia"/>
          <w:color w:val="auto"/>
          <w:highlight w:val="none"/>
        </w:rPr>
        <w:t>.3  单价金额小数点或者百分比有明显错位的，以开标一览表的总价为准，并修改单价；</w:t>
      </w:r>
    </w:p>
    <w:p w14:paraId="398453D4">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w:t>
      </w:r>
      <w:r>
        <w:rPr>
          <w:rFonts w:hint="eastAsia"/>
          <w:color w:val="auto"/>
          <w:highlight w:val="none"/>
          <w:lang w:val="en-US" w:eastAsia="zh-CN"/>
        </w:rPr>
        <w:t>6</w:t>
      </w:r>
      <w:r>
        <w:rPr>
          <w:rFonts w:hint="eastAsia"/>
          <w:color w:val="auto"/>
          <w:highlight w:val="none"/>
        </w:rPr>
        <w:t>.4  总价金额与按单价汇总金额不一致的，以单价金额计算结果为准。</w:t>
      </w:r>
    </w:p>
    <w:p w14:paraId="72B796C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2"/>
        <w:rPr>
          <w:rFonts w:hint="eastAsia" w:ascii="宋体" w:hAnsi="宋体" w:cs="宋体"/>
          <w:color w:val="auto"/>
          <w:sz w:val="24"/>
          <w:szCs w:val="32"/>
          <w:highlight w:val="none"/>
        </w:rPr>
      </w:pPr>
      <w:r>
        <w:rPr>
          <w:rFonts w:hint="eastAsia" w:ascii="宋体" w:hAnsi="宋体" w:cs="宋体"/>
          <w:color w:val="auto"/>
          <w:sz w:val="24"/>
          <w:szCs w:val="32"/>
          <w:highlight w:val="none"/>
        </w:rPr>
        <w:t>同时出现两种以上不一致的，按照前款规定的顺序修正。修正后的报价应当采用书面形式，并加盖公章，或者由法定代表人或其授权的代表签字确认后产生约束力，投标人不确认的，其投标无效。</w:t>
      </w:r>
      <w:bookmarkStart w:id="92" w:name="_Toc26186"/>
    </w:p>
    <w:p w14:paraId="7E16FC89">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color w:val="auto"/>
          <w:sz w:val="24"/>
          <w:highlight w:val="none"/>
        </w:rPr>
      </w:pPr>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.不允许偏离的实质性要求和条件</w:t>
      </w:r>
      <w:bookmarkEnd w:id="92"/>
    </w:p>
    <w:p w14:paraId="077BA1C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highlight w:val="none"/>
        </w:rPr>
      </w:pPr>
      <w:r>
        <w:rPr>
          <w:rFonts w:hint="eastAsia" w:ascii="宋体" w:hAnsi="宋体" w:cs="宋体"/>
          <w:color w:val="auto"/>
          <w:sz w:val="24"/>
          <w:highlight w:val="none"/>
        </w:rPr>
        <w:t>投标人不得通过修正或撤销不符合要求的偏离或保留从而使其投标成为实质上响应的投标。</w:t>
      </w:r>
    </w:p>
    <w:p w14:paraId="2414304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hint="eastAsia"/>
          <w:b/>
          <w:bCs/>
          <w:color w:val="auto"/>
          <w:highlight w:val="none"/>
        </w:rPr>
      </w:pPr>
      <w:bookmarkStart w:id="93" w:name="_Toc276449956"/>
      <w:bookmarkStart w:id="94" w:name="_Toc282179625"/>
      <w:bookmarkStart w:id="95" w:name="_Toc15853"/>
      <w:r>
        <w:rPr>
          <w:rFonts w:hint="eastAsia"/>
          <w:b/>
          <w:bCs/>
          <w:color w:val="auto"/>
          <w:highlight w:val="none"/>
        </w:rPr>
        <w:t>2</w:t>
      </w:r>
      <w:r>
        <w:rPr>
          <w:rFonts w:hint="eastAsia"/>
          <w:b/>
          <w:bCs/>
          <w:color w:val="auto"/>
          <w:highlight w:val="none"/>
          <w:lang w:val="en-US" w:eastAsia="zh-CN"/>
        </w:rPr>
        <w:t>8</w:t>
      </w:r>
      <w:r>
        <w:rPr>
          <w:rFonts w:hint="eastAsia"/>
          <w:b/>
          <w:bCs/>
          <w:color w:val="auto"/>
          <w:highlight w:val="none"/>
        </w:rPr>
        <w:t>.评标办法</w:t>
      </w:r>
    </w:p>
    <w:p w14:paraId="2D9AA65A">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评标委员会应当按照招标文件中规定的评标方法和标准，对符合性审查合格的投标文件进行商务和技术评估，综合比较与评价。</w:t>
      </w:r>
    </w:p>
    <w:p w14:paraId="08A175BD">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bookmarkStart w:id="96" w:name="_Toc3398"/>
      <w:bookmarkStart w:id="97" w:name="_Toc27815"/>
      <w:bookmarkStart w:id="98" w:name="_Toc21644"/>
      <w:r>
        <w:rPr>
          <w:rFonts w:hint="eastAsia"/>
          <w:color w:val="auto"/>
          <w:highlight w:val="none"/>
        </w:rPr>
        <w:t>2</w:t>
      </w:r>
      <w:r>
        <w:rPr>
          <w:rFonts w:hint="eastAsia"/>
          <w:color w:val="auto"/>
          <w:highlight w:val="none"/>
          <w:lang w:val="en-US" w:eastAsia="zh-CN"/>
        </w:rPr>
        <w:t>8</w:t>
      </w:r>
      <w:r>
        <w:rPr>
          <w:rFonts w:hint="eastAsia"/>
          <w:color w:val="auto"/>
          <w:highlight w:val="none"/>
        </w:rPr>
        <w:t>.1本项目采用综合评分法，评标结果按评审后得分由高到低顺序排列。得分相同的，按投标报价由低到高顺序排列。得分且投标报价相同的并列，采取随机抽签方式确定排列顺序。投标文件满足招标文件全部实质性要求，且按照评审因素的量化指标评审得分最高的投标人为排名第一的中标候选人。</w:t>
      </w:r>
      <w:bookmarkEnd w:id="96"/>
      <w:bookmarkEnd w:id="97"/>
      <w:bookmarkEnd w:id="98"/>
    </w:p>
    <w:p w14:paraId="17EA7ED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b/>
          <w:bCs/>
          <w:color w:val="auto"/>
          <w:highlight w:val="none"/>
        </w:rPr>
      </w:pPr>
      <w:r>
        <w:rPr>
          <w:rFonts w:hint="eastAsia"/>
          <w:b/>
          <w:bCs/>
          <w:color w:val="auto"/>
          <w:sz w:val="24"/>
          <w:highlight w:val="none"/>
        </w:rPr>
        <w:t>根据《中华人民共和国政府采购法实施条例》第四十九条规定，中标供应商拒绝与采购人签订合同的，采购人</w:t>
      </w:r>
      <w:r>
        <w:rPr>
          <w:rFonts w:hint="eastAsia"/>
          <w:b/>
          <w:bCs/>
          <w:color w:val="auto"/>
          <w:sz w:val="24"/>
          <w:highlight w:val="none"/>
          <w:lang w:val="en-US" w:eastAsia="zh-CN"/>
        </w:rPr>
        <w:t>将直接</w:t>
      </w:r>
      <w:r>
        <w:rPr>
          <w:rFonts w:hint="eastAsia"/>
          <w:b/>
          <w:bCs/>
          <w:color w:val="auto"/>
          <w:sz w:val="24"/>
          <w:highlight w:val="none"/>
        </w:rPr>
        <w:t>重新开展采购活动。</w:t>
      </w:r>
    </w:p>
    <w:p w14:paraId="62D5776A">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28.2 评标委员会</w:t>
      </w:r>
      <w:r>
        <w:rPr>
          <w:rFonts w:hint="eastAsia" w:ascii="宋体" w:hAnsi="宋体" w:cs="宋体"/>
          <w:b/>
          <w:bCs/>
          <w:color w:val="auto"/>
          <w:sz w:val="24"/>
          <w:highlight w:val="none"/>
        </w:rPr>
        <w:t>启动异常低价投标审查的情形和具体要求，包括：</w:t>
      </w:r>
    </w:p>
    <w:p w14:paraId="7A33530A">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（一）评审过程中出现下列情形之一的，评标委员会应当启动异常低价投标审查程序：</w:t>
      </w:r>
    </w:p>
    <w:p w14:paraId="33D78AD4">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1.投标（响应）报价低于全部通过符合性审查投标人投标（响应）报价平均值50%的，即投标（响应）报价&lt;全部通过符合性审查投标人投标（响应）报价平均值×50%；</w:t>
      </w:r>
    </w:p>
    <w:p w14:paraId="11276317">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2.投标（响应）报价低于通过符合性审查的次低报价投标人投标（响应）报价50%的，即投标（响应）报价&lt;通过符合性审查的次低报价投标人投标（响应）报价×50%；</w:t>
      </w:r>
    </w:p>
    <w:p w14:paraId="14A0C0C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3.投标（响应）报价低于采购项目最高限价45%的，即投标（响应）报价&lt;采购项目最高限价×45%；</w:t>
      </w:r>
    </w:p>
    <w:p w14:paraId="18712251">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4.评审委员会基于专业判断，认为投标人报价过低，有可能影响产品质量或者不能诚信履约的其他情形。</w:t>
      </w:r>
    </w:p>
    <w:p w14:paraId="6D0450F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提醒：采购人可以结合具体项目实际情况，提高上述第1项至第3项中启动异常低价投标（响应）审查的数值标准，但是最高不得超过65%。</w:t>
      </w:r>
    </w:p>
    <w:p w14:paraId="5EAC4F3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相关法律法规对投标人报价有规定的，从其规定。</w:t>
      </w:r>
    </w:p>
    <w:p w14:paraId="6D505E0D">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06D0603A">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6384A47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69C5D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异常低价投标（响应）审查的启动原因、审查意见和审查结果应当在评审报告中记录，并随投标人提供的相关书面说明及证明材料，以及评审委员会有关互联网浏览、查询历史一并归档。</w:t>
      </w:r>
    </w:p>
    <w:p w14:paraId="795DC92A">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中标人拒绝与采购人签订合同的或在中标公告公示期间放弃中标的，采购人将重新开展采购活动。</w:t>
      </w:r>
    </w:p>
    <w:p w14:paraId="1B0F46C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eastAsia="宋体" w:cs="宋体"/>
          <w:color w:val="auto"/>
          <w:kern w:val="0"/>
          <w:sz w:val="24"/>
          <w:szCs w:val="24"/>
          <w:highlight w:val="none"/>
          <w:lang w:val="en-US" w:eastAsia="zh-CN" w:bidi="ar-SA"/>
        </w:rPr>
        <w:t>28.</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 xml:space="preserve"> </w:t>
      </w:r>
      <w:r>
        <w:rPr>
          <w:rFonts w:hint="eastAsia" w:ascii="宋体" w:hAnsi="宋体" w:cs="宋体"/>
          <w:b/>
          <w:bCs/>
          <w:color w:val="auto"/>
          <w:sz w:val="24"/>
          <w:highlight w:val="none"/>
        </w:rPr>
        <w:t xml:space="preserve"> </w:t>
      </w:r>
      <w:r>
        <w:rPr>
          <w:rFonts w:hint="eastAsia" w:ascii="宋体" w:hAnsi="宋体" w:cs="宋体"/>
          <w:bCs/>
          <w:color w:val="auto"/>
          <w:sz w:val="24"/>
          <w:highlight w:val="none"/>
        </w:rPr>
        <w:t>分值构成与评分标准</w:t>
      </w:r>
      <w:bookmarkEnd w:id="93"/>
      <w:bookmarkEnd w:id="94"/>
    </w:p>
    <w:tbl>
      <w:tblPr>
        <w:tblStyle w:val="27"/>
        <w:tblW w:w="5000" w:type="pct"/>
        <w:tblInd w:w="0" w:type="dxa"/>
        <w:tblLayout w:type="autofit"/>
        <w:tblCellMar>
          <w:top w:w="0" w:type="dxa"/>
          <w:left w:w="108" w:type="dxa"/>
          <w:bottom w:w="0" w:type="dxa"/>
          <w:right w:w="108" w:type="dxa"/>
        </w:tblCellMar>
      </w:tblPr>
      <w:tblGrid>
        <w:gridCol w:w="783"/>
        <w:gridCol w:w="908"/>
        <w:gridCol w:w="951"/>
        <w:gridCol w:w="6384"/>
      </w:tblGrid>
      <w:tr w14:paraId="64F2868B">
        <w:tblPrEx>
          <w:tblCellMar>
            <w:top w:w="0" w:type="dxa"/>
            <w:left w:w="108" w:type="dxa"/>
            <w:bottom w:w="0" w:type="dxa"/>
            <w:right w:w="108" w:type="dxa"/>
          </w:tblCellMar>
        </w:tblPrEx>
        <w:trPr>
          <w:trHeight w:val="436" w:hRule="atLeast"/>
        </w:trPr>
        <w:tc>
          <w:tcPr>
            <w:tcW w:w="434" w:type="pct"/>
            <w:tcBorders>
              <w:top w:val="single" w:color="000000" w:sz="4" w:space="0"/>
              <w:left w:val="single" w:color="000000" w:sz="4" w:space="0"/>
              <w:bottom w:val="single" w:color="000000" w:sz="4" w:space="0"/>
              <w:right w:val="single" w:color="000000" w:sz="4" w:space="0"/>
            </w:tcBorders>
            <w:vAlign w:val="center"/>
          </w:tcPr>
          <w:p w14:paraId="762F27D7">
            <w:pPr>
              <w:widowControl/>
              <w:spacing w:line="360" w:lineRule="auto"/>
              <w:jc w:val="center"/>
              <w:rPr>
                <w:rFonts w:ascii="宋体" w:hAnsi="宋体" w:cs="宋体"/>
              </w:rPr>
            </w:pPr>
            <w:r>
              <w:rPr>
                <w:rFonts w:hint="eastAsia" w:ascii="宋体" w:hAnsi="宋体" w:cs="宋体"/>
                <w:b/>
                <w:bCs/>
              </w:rPr>
              <w:t>序号</w:t>
            </w:r>
          </w:p>
        </w:tc>
        <w:tc>
          <w:tcPr>
            <w:tcW w:w="503" w:type="pct"/>
            <w:tcBorders>
              <w:top w:val="single" w:color="000000" w:sz="4" w:space="0"/>
              <w:left w:val="single" w:color="000000" w:sz="4" w:space="0"/>
              <w:bottom w:val="single" w:color="000000" w:sz="4" w:space="0"/>
              <w:right w:val="single" w:color="000000" w:sz="4" w:space="0"/>
            </w:tcBorders>
            <w:vAlign w:val="center"/>
          </w:tcPr>
          <w:p w14:paraId="60B63FD6">
            <w:pPr>
              <w:widowControl/>
              <w:spacing w:line="360" w:lineRule="auto"/>
              <w:jc w:val="center"/>
              <w:rPr>
                <w:rFonts w:ascii="宋体" w:hAnsi="宋体" w:cs="宋体"/>
              </w:rPr>
            </w:pPr>
            <w:r>
              <w:rPr>
                <w:rFonts w:hint="eastAsia" w:ascii="宋体" w:hAnsi="宋体" w:cs="宋体"/>
                <w:b/>
                <w:bCs/>
              </w:rPr>
              <w:t>类 别</w:t>
            </w:r>
          </w:p>
        </w:tc>
        <w:tc>
          <w:tcPr>
            <w:tcW w:w="527" w:type="pct"/>
            <w:tcBorders>
              <w:top w:val="single" w:color="000000" w:sz="4" w:space="0"/>
              <w:left w:val="single" w:color="000000" w:sz="4" w:space="0"/>
              <w:bottom w:val="single" w:color="000000" w:sz="4" w:space="0"/>
              <w:right w:val="single" w:color="000000" w:sz="4" w:space="0"/>
            </w:tcBorders>
            <w:vAlign w:val="center"/>
          </w:tcPr>
          <w:p w14:paraId="071A74BC">
            <w:pPr>
              <w:widowControl/>
              <w:spacing w:line="360" w:lineRule="auto"/>
              <w:jc w:val="center"/>
              <w:rPr>
                <w:rFonts w:ascii="宋体" w:hAnsi="宋体" w:cs="宋体"/>
              </w:rPr>
            </w:pPr>
            <w:r>
              <w:rPr>
                <w:rFonts w:hint="eastAsia" w:ascii="宋体" w:hAnsi="宋体" w:cs="宋体"/>
                <w:b/>
                <w:bCs/>
              </w:rPr>
              <w:t>分值</w:t>
            </w:r>
          </w:p>
        </w:tc>
        <w:tc>
          <w:tcPr>
            <w:tcW w:w="3536" w:type="pct"/>
            <w:tcBorders>
              <w:top w:val="single" w:color="000000" w:sz="4" w:space="0"/>
              <w:left w:val="single" w:color="000000" w:sz="4" w:space="0"/>
              <w:bottom w:val="single" w:color="000000" w:sz="4" w:space="0"/>
              <w:right w:val="single" w:color="000000" w:sz="4" w:space="0"/>
            </w:tcBorders>
            <w:vAlign w:val="center"/>
          </w:tcPr>
          <w:p w14:paraId="580A344E">
            <w:pPr>
              <w:widowControl/>
              <w:spacing w:line="360" w:lineRule="auto"/>
              <w:jc w:val="center"/>
              <w:rPr>
                <w:rFonts w:ascii="宋体" w:hAnsi="宋体" w:cs="宋体"/>
              </w:rPr>
            </w:pPr>
            <w:r>
              <w:rPr>
                <w:rFonts w:hint="eastAsia" w:ascii="宋体" w:hAnsi="宋体" w:cs="宋体"/>
                <w:b/>
                <w:bCs/>
              </w:rPr>
              <w:t>评 分 细 则</w:t>
            </w:r>
          </w:p>
        </w:tc>
      </w:tr>
      <w:tr w14:paraId="12E7C7DA">
        <w:tblPrEx>
          <w:tblCellMar>
            <w:top w:w="0" w:type="dxa"/>
            <w:left w:w="108" w:type="dxa"/>
            <w:bottom w:w="0" w:type="dxa"/>
            <w:right w:w="108" w:type="dxa"/>
          </w:tblCellMar>
        </w:tblPrEx>
        <w:trPr>
          <w:trHeight w:val="1386" w:hRule="atLeast"/>
        </w:trPr>
        <w:tc>
          <w:tcPr>
            <w:tcW w:w="434" w:type="pct"/>
            <w:tcBorders>
              <w:top w:val="single" w:color="000000" w:sz="4" w:space="0"/>
              <w:left w:val="single" w:color="000000" w:sz="4" w:space="0"/>
              <w:bottom w:val="single" w:color="000000" w:sz="4" w:space="0"/>
              <w:right w:val="single" w:color="000000" w:sz="4" w:space="0"/>
            </w:tcBorders>
            <w:vAlign w:val="center"/>
          </w:tcPr>
          <w:p w14:paraId="45DBC6F4">
            <w:pPr>
              <w:widowControl/>
              <w:spacing w:line="360" w:lineRule="auto"/>
              <w:jc w:val="center"/>
              <w:rPr>
                <w:rFonts w:ascii="宋体" w:hAnsi="宋体" w:cs="宋体"/>
              </w:rPr>
            </w:pPr>
            <w:r>
              <w:rPr>
                <w:rFonts w:hint="eastAsia" w:ascii="宋体" w:hAnsi="宋体" w:cs="宋体"/>
              </w:rPr>
              <w:t>1</w:t>
            </w:r>
          </w:p>
        </w:tc>
        <w:tc>
          <w:tcPr>
            <w:tcW w:w="503" w:type="pct"/>
            <w:tcBorders>
              <w:top w:val="single" w:color="000000" w:sz="4" w:space="0"/>
              <w:left w:val="single" w:color="000000" w:sz="4" w:space="0"/>
              <w:bottom w:val="single" w:color="000000" w:sz="4" w:space="0"/>
              <w:right w:val="single" w:color="000000" w:sz="4" w:space="0"/>
            </w:tcBorders>
            <w:vAlign w:val="center"/>
          </w:tcPr>
          <w:p w14:paraId="04946AEA">
            <w:pPr>
              <w:widowControl/>
              <w:spacing w:line="360" w:lineRule="auto"/>
              <w:jc w:val="center"/>
              <w:rPr>
                <w:rFonts w:ascii="宋体" w:hAnsi="宋体" w:cs="宋体"/>
              </w:rPr>
            </w:pPr>
            <w:r>
              <w:rPr>
                <w:rFonts w:hint="eastAsia" w:ascii="宋体" w:hAnsi="宋体" w:cs="宋体"/>
              </w:rPr>
              <w:t>投标报价</w:t>
            </w:r>
          </w:p>
        </w:tc>
        <w:tc>
          <w:tcPr>
            <w:tcW w:w="527" w:type="pct"/>
            <w:tcBorders>
              <w:top w:val="single" w:color="000000" w:sz="4" w:space="0"/>
              <w:left w:val="single" w:color="000000" w:sz="4" w:space="0"/>
              <w:bottom w:val="single" w:color="000000" w:sz="4" w:space="0"/>
              <w:right w:val="single" w:color="000000" w:sz="4" w:space="0"/>
            </w:tcBorders>
            <w:vAlign w:val="center"/>
          </w:tcPr>
          <w:p w14:paraId="2D0C2F76">
            <w:pPr>
              <w:widowControl/>
              <w:spacing w:line="360" w:lineRule="auto"/>
              <w:jc w:val="center"/>
              <w:rPr>
                <w:rFonts w:ascii="宋体" w:hAnsi="宋体" w:cs="宋体"/>
              </w:rPr>
            </w:pPr>
            <w:r>
              <w:rPr>
                <w:rFonts w:hint="eastAsia" w:ascii="宋体" w:hAnsi="宋体" w:cs="宋体"/>
                <w:lang w:val="en-US" w:eastAsia="zh-CN"/>
              </w:rPr>
              <w:t>25</w:t>
            </w:r>
            <w:r>
              <w:rPr>
                <w:rFonts w:hint="eastAsia" w:ascii="宋体" w:hAnsi="宋体" w:cs="宋体"/>
              </w:rPr>
              <w:t>分</w:t>
            </w:r>
          </w:p>
        </w:tc>
        <w:tc>
          <w:tcPr>
            <w:tcW w:w="3536" w:type="pct"/>
            <w:tcBorders>
              <w:top w:val="single" w:color="000000" w:sz="4" w:space="0"/>
              <w:left w:val="single" w:color="000000" w:sz="4" w:space="0"/>
              <w:bottom w:val="single" w:color="000000" w:sz="4" w:space="0"/>
              <w:right w:val="single" w:color="000000" w:sz="4" w:space="0"/>
            </w:tcBorders>
            <w:vAlign w:val="center"/>
          </w:tcPr>
          <w:p w14:paraId="1AB7FCC4">
            <w:pPr>
              <w:widowControl/>
              <w:spacing w:line="360" w:lineRule="auto"/>
              <w:jc w:val="left"/>
              <w:textAlignment w:val="center"/>
              <w:rPr>
                <w:rFonts w:ascii="宋体" w:hAnsi="宋体" w:cs="宋体"/>
              </w:rPr>
            </w:pPr>
            <w:r>
              <w:rPr>
                <w:rFonts w:hint="eastAsia" w:ascii="宋体" w:hAnsi="宋体" w:cs="宋体"/>
              </w:rPr>
              <w:t>按照低价优先法计算报价得分，即满足招标文件要求且投标价格最低的投标报价为评标基准价，其价格分为满分</w:t>
            </w:r>
            <w:r>
              <w:rPr>
                <w:rFonts w:hint="eastAsia" w:ascii="宋体" w:hAnsi="宋体" w:cs="宋体"/>
                <w:lang w:val="en-US" w:eastAsia="zh-CN"/>
              </w:rPr>
              <w:t>25</w:t>
            </w:r>
            <w:r>
              <w:rPr>
                <w:rFonts w:hint="eastAsia" w:ascii="宋体" w:hAnsi="宋体" w:cs="宋体"/>
              </w:rPr>
              <w:t>分。其他投标人的价格分统一按照下列公式计算：投标报价得分=（评标基准价/投标报价）×</w:t>
            </w:r>
            <w:r>
              <w:rPr>
                <w:rFonts w:hint="eastAsia" w:ascii="宋体" w:hAnsi="宋体" w:cs="宋体"/>
                <w:lang w:val="en-US" w:eastAsia="zh-CN"/>
              </w:rPr>
              <w:t>25</w:t>
            </w:r>
            <w:r>
              <w:rPr>
                <w:rFonts w:hint="eastAsia" w:ascii="宋体" w:hAnsi="宋体" w:cs="宋体"/>
              </w:rPr>
              <w:t>。投标人投标报价得分按“四舍五入”精确到小数点后两位。</w:t>
            </w:r>
          </w:p>
        </w:tc>
      </w:tr>
      <w:tr w14:paraId="54BE500F">
        <w:tblPrEx>
          <w:tblCellMar>
            <w:top w:w="0" w:type="dxa"/>
            <w:left w:w="108" w:type="dxa"/>
            <w:bottom w:w="0" w:type="dxa"/>
            <w:right w:w="108" w:type="dxa"/>
          </w:tblCellMar>
        </w:tblPrEx>
        <w:trPr>
          <w:trHeight w:val="500" w:hRule="atLeast"/>
        </w:trPr>
        <w:tc>
          <w:tcPr>
            <w:tcW w:w="434" w:type="pct"/>
            <w:vMerge w:val="restart"/>
            <w:tcBorders>
              <w:top w:val="single" w:color="auto" w:sz="4" w:space="0"/>
              <w:left w:val="single" w:color="auto" w:sz="4" w:space="0"/>
              <w:bottom w:val="single" w:color="auto" w:sz="4" w:space="0"/>
              <w:right w:val="single" w:color="auto" w:sz="4" w:space="0"/>
            </w:tcBorders>
            <w:vAlign w:val="center"/>
          </w:tcPr>
          <w:p w14:paraId="2D36E477">
            <w:pPr>
              <w:widowControl/>
              <w:spacing w:line="360" w:lineRule="auto"/>
              <w:jc w:val="center"/>
              <w:rPr>
                <w:rFonts w:ascii="宋体" w:hAnsi="宋体" w:cs="宋体"/>
              </w:rPr>
            </w:pPr>
            <w:r>
              <w:rPr>
                <w:rFonts w:hint="eastAsia" w:ascii="宋体" w:hAnsi="宋体" w:cs="宋体"/>
              </w:rPr>
              <w:t>2</w:t>
            </w:r>
          </w:p>
        </w:tc>
        <w:tc>
          <w:tcPr>
            <w:tcW w:w="503" w:type="pct"/>
            <w:tcBorders>
              <w:top w:val="single" w:color="auto" w:sz="4" w:space="0"/>
              <w:left w:val="single" w:color="auto" w:sz="4" w:space="0"/>
              <w:bottom w:val="single" w:color="auto" w:sz="4" w:space="0"/>
              <w:right w:val="single" w:color="auto" w:sz="4" w:space="0"/>
            </w:tcBorders>
            <w:vAlign w:val="center"/>
          </w:tcPr>
          <w:p w14:paraId="5180CF85">
            <w:pPr>
              <w:widowControl/>
              <w:spacing w:line="360" w:lineRule="auto"/>
              <w:jc w:val="center"/>
              <w:rPr>
                <w:rFonts w:ascii="宋体" w:hAnsi="宋体" w:cs="宋体"/>
              </w:rPr>
            </w:pPr>
            <w:r>
              <w:rPr>
                <w:rFonts w:ascii="宋体" w:hAnsi="宋体" w:cs="宋体"/>
                <w:sz w:val="24"/>
                <w:szCs w:val="24"/>
              </w:rPr>
              <w:t>项目实施方案</w:t>
            </w:r>
          </w:p>
        </w:tc>
        <w:tc>
          <w:tcPr>
            <w:tcW w:w="527" w:type="pct"/>
            <w:tcBorders>
              <w:top w:val="single" w:color="auto" w:sz="4" w:space="0"/>
              <w:left w:val="single" w:color="auto" w:sz="4" w:space="0"/>
              <w:bottom w:val="single" w:color="auto" w:sz="4" w:space="0"/>
              <w:right w:val="single" w:color="auto" w:sz="4" w:space="0"/>
            </w:tcBorders>
            <w:vAlign w:val="center"/>
          </w:tcPr>
          <w:p w14:paraId="695FB9EE">
            <w:pPr>
              <w:widowControl/>
              <w:spacing w:line="360" w:lineRule="auto"/>
              <w:jc w:val="center"/>
              <w:rPr>
                <w:rFonts w:ascii="宋体" w:hAnsi="宋体" w:cs="宋体"/>
              </w:rPr>
            </w:pPr>
            <w:r>
              <w:rPr>
                <w:rFonts w:hint="eastAsia" w:ascii="宋体" w:hAnsi="宋体" w:cs="宋体"/>
              </w:rPr>
              <w:t>1</w:t>
            </w:r>
            <w:r>
              <w:rPr>
                <w:rFonts w:hint="eastAsia" w:ascii="宋体" w:hAnsi="宋体" w:cs="宋体"/>
                <w:lang w:val="en-US" w:eastAsia="zh-CN"/>
              </w:rPr>
              <w:t>6</w:t>
            </w:r>
            <w:r>
              <w:rPr>
                <w:rFonts w:hint="eastAsia" w:ascii="宋体" w:hAnsi="宋体" w:cs="宋体"/>
              </w:rPr>
              <w:t>分</w:t>
            </w:r>
          </w:p>
        </w:tc>
        <w:tc>
          <w:tcPr>
            <w:tcW w:w="3536" w:type="pct"/>
            <w:tcBorders>
              <w:top w:val="single" w:color="auto" w:sz="4" w:space="0"/>
              <w:left w:val="single" w:color="auto" w:sz="4" w:space="0"/>
              <w:bottom w:val="single" w:color="auto" w:sz="4" w:space="0"/>
              <w:right w:val="single" w:color="auto" w:sz="4" w:space="0"/>
            </w:tcBorders>
          </w:tcPr>
          <w:p w14:paraId="1EB68FC9">
            <w:pPr>
              <w:spacing w:line="360" w:lineRule="auto"/>
              <w:rPr>
                <w:rFonts w:hint="eastAsia" w:ascii="宋体" w:cs="宋体"/>
              </w:rPr>
            </w:pPr>
            <w:r>
              <w:rPr>
                <w:rFonts w:hint="eastAsia" w:ascii="宋体" w:cs="宋体"/>
              </w:rPr>
              <w:t>根据投标人提供的本项目实施方案进行评分，方案至少包含工程概</w:t>
            </w:r>
          </w:p>
          <w:p w14:paraId="28B37850">
            <w:pPr>
              <w:spacing w:line="360" w:lineRule="auto"/>
              <w:rPr>
                <w:rFonts w:hint="eastAsia" w:ascii="宋体" w:cs="宋体"/>
              </w:rPr>
            </w:pPr>
            <w:r>
              <w:rPr>
                <w:rFonts w:hint="eastAsia" w:ascii="宋体" w:cs="宋体"/>
              </w:rPr>
              <w:t>述、总体施工安排、施工部署三大核心内容等内容。</w:t>
            </w:r>
          </w:p>
          <w:p w14:paraId="3AEE5C61">
            <w:pPr>
              <w:spacing w:line="360" w:lineRule="auto"/>
              <w:rPr>
                <w:rFonts w:hint="eastAsia" w:ascii="宋体" w:cs="宋体"/>
              </w:rPr>
            </w:pPr>
            <w:r>
              <w:rPr>
                <w:rFonts w:hint="eastAsia" w:ascii="宋体" w:cs="宋体"/>
                <w:lang w:eastAsia="zh-CN"/>
              </w:rPr>
              <w:t>（</w:t>
            </w:r>
            <w:r>
              <w:rPr>
                <w:rFonts w:hint="eastAsia" w:ascii="宋体" w:cs="宋体"/>
                <w:lang w:val="en-US" w:eastAsia="zh-CN"/>
              </w:rPr>
              <w:t>1</w:t>
            </w:r>
            <w:r>
              <w:rPr>
                <w:rFonts w:hint="eastAsia" w:ascii="宋体" w:cs="宋体"/>
                <w:lang w:eastAsia="zh-CN"/>
              </w:rPr>
              <w:t>）</w:t>
            </w:r>
            <w:r>
              <w:rPr>
                <w:rFonts w:hint="eastAsia" w:ascii="宋体" w:cs="宋体"/>
              </w:rPr>
              <w:t>方案完整详实、结合水厂改造场景，优于本项目需求的，得1</w:t>
            </w:r>
            <w:r>
              <w:rPr>
                <w:rFonts w:hint="eastAsia" w:ascii="宋体" w:cs="宋体"/>
                <w:lang w:val="en-US" w:eastAsia="zh-CN"/>
              </w:rPr>
              <w:t>6</w:t>
            </w:r>
            <w:r>
              <w:rPr>
                <w:rFonts w:hint="eastAsia" w:ascii="宋体" w:cs="宋体"/>
              </w:rPr>
              <w:t>分;</w:t>
            </w:r>
          </w:p>
          <w:p w14:paraId="04507CB9">
            <w:pPr>
              <w:spacing w:line="360" w:lineRule="auto"/>
              <w:rPr>
                <w:rFonts w:hint="eastAsia" w:ascii="宋体" w:cs="宋体"/>
              </w:rPr>
            </w:pPr>
            <w:r>
              <w:rPr>
                <w:rFonts w:hint="eastAsia" w:ascii="宋体" w:cs="宋体"/>
                <w:lang w:eastAsia="zh-CN"/>
              </w:rPr>
              <w:t>（</w:t>
            </w:r>
            <w:r>
              <w:rPr>
                <w:rFonts w:hint="eastAsia" w:ascii="宋体" w:cs="宋体"/>
                <w:lang w:val="en-US" w:eastAsia="zh-CN"/>
              </w:rPr>
              <w:t>2</w:t>
            </w:r>
            <w:r>
              <w:rPr>
                <w:rFonts w:hint="eastAsia" w:ascii="宋体" w:cs="宋体"/>
                <w:lang w:eastAsia="zh-CN"/>
              </w:rPr>
              <w:t>）</w:t>
            </w:r>
            <w:r>
              <w:rPr>
                <w:rFonts w:hint="eastAsia" w:ascii="宋体" w:cs="宋体"/>
              </w:rPr>
              <w:t>方案要素齐全，满足本项目需求的，得1</w:t>
            </w:r>
            <w:r>
              <w:rPr>
                <w:rFonts w:hint="eastAsia" w:ascii="宋体" w:cs="宋体"/>
                <w:lang w:val="en-US" w:eastAsia="zh-CN"/>
              </w:rPr>
              <w:t>4</w:t>
            </w:r>
            <w:r>
              <w:rPr>
                <w:rFonts w:hint="eastAsia" w:ascii="宋体" w:cs="宋体"/>
              </w:rPr>
              <w:t>分;</w:t>
            </w:r>
          </w:p>
          <w:p w14:paraId="1A4DD3FA">
            <w:pPr>
              <w:spacing w:line="360" w:lineRule="auto"/>
              <w:rPr>
                <w:rFonts w:hint="eastAsia" w:ascii="宋体" w:cs="宋体"/>
              </w:rPr>
            </w:pPr>
            <w:r>
              <w:rPr>
                <w:rFonts w:hint="eastAsia" w:ascii="宋体" w:cs="宋体"/>
                <w:lang w:eastAsia="zh-CN"/>
              </w:rPr>
              <w:t>（</w:t>
            </w:r>
            <w:r>
              <w:rPr>
                <w:rFonts w:hint="eastAsia" w:ascii="宋体" w:cs="宋体"/>
                <w:lang w:val="en-US" w:eastAsia="zh-CN"/>
              </w:rPr>
              <w:t>3</w:t>
            </w:r>
            <w:r>
              <w:rPr>
                <w:rFonts w:hint="eastAsia" w:ascii="宋体" w:cs="宋体"/>
                <w:lang w:eastAsia="zh-CN"/>
              </w:rPr>
              <w:t>）方案内容简单一般的得</w:t>
            </w:r>
            <w:r>
              <w:rPr>
                <w:rFonts w:hint="eastAsia" w:ascii="宋体" w:cs="宋体"/>
                <w:lang w:val="en-US" w:eastAsia="zh-CN"/>
              </w:rPr>
              <w:t>12</w:t>
            </w:r>
            <w:r>
              <w:rPr>
                <w:rFonts w:hint="eastAsia" w:ascii="宋体" w:cs="宋体"/>
                <w:lang w:eastAsia="zh-CN"/>
              </w:rPr>
              <w:t>分</w:t>
            </w:r>
            <w:r>
              <w:rPr>
                <w:rFonts w:hint="eastAsia" w:ascii="宋体" w:cs="宋体"/>
              </w:rPr>
              <w:t>;</w:t>
            </w:r>
          </w:p>
          <w:p w14:paraId="432A6BF2">
            <w:pPr>
              <w:spacing w:line="360" w:lineRule="auto"/>
              <w:rPr>
                <w:rFonts w:ascii="宋体" w:cs="宋体"/>
              </w:rPr>
            </w:pPr>
            <w:r>
              <w:rPr>
                <w:rFonts w:hint="eastAsia" w:ascii="宋体" w:cs="宋体"/>
                <w:lang w:eastAsia="zh-CN"/>
              </w:rPr>
              <w:t>（</w:t>
            </w:r>
            <w:r>
              <w:rPr>
                <w:rFonts w:hint="eastAsia" w:ascii="宋体" w:cs="宋体"/>
                <w:lang w:val="en-US" w:eastAsia="zh-CN"/>
              </w:rPr>
              <w:t>4</w:t>
            </w:r>
            <w:r>
              <w:rPr>
                <w:rFonts w:hint="eastAsia" w:ascii="宋体" w:cs="宋体"/>
                <w:lang w:eastAsia="zh-CN"/>
              </w:rPr>
              <w:t>）</w:t>
            </w:r>
            <w:r>
              <w:rPr>
                <w:rFonts w:hint="eastAsia" w:ascii="宋体" w:cs="宋体"/>
              </w:rPr>
              <w:t>未提供实施方案的，不得分。</w:t>
            </w:r>
          </w:p>
        </w:tc>
      </w:tr>
      <w:tr w14:paraId="42F48C3C">
        <w:tblPrEx>
          <w:tblCellMar>
            <w:top w:w="0" w:type="dxa"/>
            <w:left w:w="108" w:type="dxa"/>
            <w:bottom w:w="0" w:type="dxa"/>
            <w:right w:w="108" w:type="dxa"/>
          </w:tblCellMar>
        </w:tblPrEx>
        <w:trPr>
          <w:trHeight w:val="500" w:hRule="atLeast"/>
        </w:trPr>
        <w:tc>
          <w:tcPr>
            <w:tcW w:w="434" w:type="pct"/>
            <w:vMerge w:val="continue"/>
            <w:tcBorders>
              <w:top w:val="single" w:color="auto" w:sz="4" w:space="0"/>
              <w:left w:val="single" w:color="auto" w:sz="4" w:space="0"/>
              <w:bottom w:val="single" w:color="auto" w:sz="4" w:space="0"/>
              <w:right w:val="single" w:color="auto" w:sz="4" w:space="0"/>
            </w:tcBorders>
            <w:vAlign w:val="center"/>
          </w:tcPr>
          <w:p w14:paraId="78CD1AD2">
            <w:pPr>
              <w:widowControl/>
              <w:spacing w:line="360" w:lineRule="auto"/>
              <w:jc w:val="center"/>
              <w:rPr>
                <w:rFonts w:ascii="宋体" w:hAnsi="宋体" w:cs="宋体"/>
              </w:rPr>
            </w:pPr>
          </w:p>
        </w:tc>
        <w:tc>
          <w:tcPr>
            <w:tcW w:w="503" w:type="pct"/>
            <w:tcBorders>
              <w:top w:val="single" w:color="auto" w:sz="4" w:space="0"/>
              <w:left w:val="single" w:color="auto" w:sz="4" w:space="0"/>
              <w:bottom w:val="single" w:color="auto" w:sz="4" w:space="0"/>
              <w:right w:val="single" w:color="auto" w:sz="4" w:space="0"/>
            </w:tcBorders>
            <w:vAlign w:val="center"/>
          </w:tcPr>
          <w:p w14:paraId="29A4B02A">
            <w:pPr>
              <w:widowControl/>
              <w:spacing w:line="360" w:lineRule="auto"/>
              <w:jc w:val="center"/>
              <w:rPr>
                <w:rFonts w:ascii="宋体" w:hAnsi="宋体" w:cs="宋体"/>
              </w:rPr>
            </w:pPr>
            <w:r>
              <w:rPr>
                <w:rFonts w:hint="eastAsia" w:ascii="宋体" w:hAnsi="宋体" w:cs="宋体"/>
              </w:rPr>
              <w:t>售后服务方案</w:t>
            </w:r>
          </w:p>
        </w:tc>
        <w:tc>
          <w:tcPr>
            <w:tcW w:w="527" w:type="pct"/>
            <w:tcBorders>
              <w:top w:val="single" w:color="auto" w:sz="4" w:space="0"/>
              <w:left w:val="single" w:color="auto" w:sz="4" w:space="0"/>
              <w:bottom w:val="single" w:color="auto" w:sz="4" w:space="0"/>
              <w:right w:val="single" w:color="auto" w:sz="4" w:space="0"/>
            </w:tcBorders>
            <w:vAlign w:val="center"/>
          </w:tcPr>
          <w:p w14:paraId="46A019F4">
            <w:pPr>
              <w:widowControl/>
              <w:spacing w:line="360" w:lineRule="auto"/>
              <w:jc w:val="center"/>
              <w:rPr>
                <w:rFonts w:ascii="宋体" w:hAnsi="宋体" w:cs="宋体"/>
              </w:rPr>
            </w:pPr>
            <w:r>
              <w:rPr>
                <w:rFonts w:hint="eastAsia" w:ascii="宋体" w:hAnsi="宋体" w:cs="宋体"/>
              </w:rPr>
              <w:t>1</w:t>
            </w:r>
            <w:r>
              <w:rPr>
                <w:rFonts w:hint="eastAsia" w:ascii="宋体" w:hAnsi="宋体" w:cs="宋体"/>
                <w:lang w:val="en-US" w:eastAsia="zh-CN"/>
              </w:rPr>
              <w:t>2</w:t>
            </w:r>
            <w:r>
              <w:rPr>
                <w:rFonts w:hint="eastAsia" w:ascii="宋体" w:hAnsi="宋体" w:cs="宋体"/>
              </w:rPr>
              <w:t>分</w:t>
            </w:r>
          </w:p>
        </w:tc>
        <w:tc>
          <w:tcPr>
            <w:tcW w:w="3536" w:type="pct"/>
            <w:tcBorders>
              <w:top w:val="single" w:color="auto" w:sz="4" w:space="0"/>
              <w:left w:val="single" w:color="auto" w:sz="4" w:space="0"/>
              <w:bottom w:val="single" w:color="auto" w:sz="4" w:space="0"/>
              <w:right w:val="single" w:color="auto" w:sz="4" w:space="0"/>
            </w:tcBorders>
          </w:tcPr>
          <w:p w14:paraId="337148CB">
            <w:pPr>
              <w:spacing w:line="360" w:lineRule="auto"/>
              <w:rPr>
                <w:rFonts w:hint="eastAsia" w:ascii="宋体" w:cs="宋体"/>
              </w:rPr>
            </w:pPr>
            <w:r>
              <w:rPr>
                <w:rFonts w:hint="eastAsia" w:ascii="宋体" w:cs="宋体"/>
              </w:rPr>
              <w:t>根据投标人提供的售后服务方案进行评分，方案至少包括：服务体系、服务响应时间、回访巡检方案、故障解决措施、技术人员保障、质保期满后备品配件价格、兼顾水厂7×24 供水运维需求。</w:t>
            </w:r>
          </w:p>
          <w:p w14:paraId="1D9BE3CB">
            <w:pPr>
              <w:spacing w:line="360" w:lineRule="auto"/>
              <w:rPr>
                <w:rFonts w:hint="eastAsia" w:ascii="宋体" w:cs="宋体"/>
              </w:rPr>
            </w:pPr>
            <w:r>
              <w:rPr>
                <w:rFonts w:hint="eastAsia" w:ascii="宋体" w:cs="宋体"/>
              </w:rPr>
              <w:t>(1)方案完善、针对性强，优于本项目需求的，得1</w:t>
            </w:r>
            <w:r>
              <w:rPr>
                <w:rFonts w:hint="eastAsia" w:ascii="宋体" w:cs="宋体"/>
                <w:lang w:val="en-US" w:eastAsia="zh-CN"/>
              </w:rPr>
              <w:t>2</w:t>
            </w:r>
            <w:r>
              <w:rPr>
                <w:rFonts w:hint="eastAsia" w:ascii="宋体" w:cs="宋体"/>
              </w:rPr>
              <w:t>分;</w:t>
            </w:r>
          </w:p>
          <w:p w14:paraId="5CE147B3">
            <w:pPr>
              <w:spacing w:line="360" w:lineRule="auto"/>
              <w:rPr>
                <w:rFonts w:hint="eastAsia" w:ascii="宋体" w:cs="宋体"/>
              </w:rPr>
            </w:pPr>
            <w:r>
              <w:rPr>
                <w:rFonts w:hint="eastAsia" w:ascii="宋体" w:cs="宋体"/>
              </w:rPr>
              <w:t>(2)方案要素齐全，满足本项目需求的，得</w:t>
            </w:r>
            <w:r>
              <w:rPr>
                <w:rFonts w:hint="eastAsia" w:ascii="宋体" w:cs="宋体"/>
                <w:lang w:val="en-US" w:eastAsia="zh-CN"/>
              </w:rPr>
              <w:t>10</w:t>
            </w:r>
            <w:r>
              <w:rPr>
                <w:rFonts w:hint="eastAsia" w:ascii="宋体" w:cs="宋体"/>
              </w:rPr>
              <w:t>分;</w:t>
            </w:r>
          </w:p>
          <w:p w14:paraId="35AF4279">
            <w:pPr>
              <w:spacing w:line="360" w:lineRule="auto"/>
              <w:rPr>
                <w:rFonts w:hint="eastAsia" w:ascii="宋体" w:cs="宋体"/>
              </w:rPr>
            </w:pPr>
            <w:r>
              <w:rPr>
                <w:rFonts w:hint="eastAsia" w:ascii="宋体" w:cs="宋体"/>
              </w:rPr>
              <w:t>(3)</w:t>
            </w:r>
            <w:r>
              <w:rPr>
                <w:rFonts w:hint="eastAsia" w:ascii="宋体" w:cs="宋体"/>
                <w:lang w:eastAsia="zh-CN"/>
              </w:rPr>
              <w:t>方案内容简单一般的得</w:t>
            </w:r>
            <w:r>
              <w:rPr>
                <w:rFonts w:hint="eastAsia" w:ascii="宋体" w:cs="宋体"/>
                <w:lang w:val="en-US" w:eastAsia="zh-CN"/>
              </w:rPr>
              <w:t>8</w:t>
            </w:r>
            <w:r>
              <w:rPr>
                <w:rFonts w:hint="eastAsia" w:ascii="宋体" w:cs="宋体"/>
              </w:rPr>
              <w:t>分;</w:t>
            </w:r>
          </w:p>
          <w:p w14:paraId="4114FA9B">
            <w:pPr>
              <w:spacing w:line="360" w:lineRule="auto"/>
              <w:rPr>
                <w:rFonts w:hint="eastAsia" w:ascii="宋体" w:cs="宋体"/>
              </w:rPr>
            </w:pPr>
            <w:r>
              <w:rPr>
                <w:rFonts w:hint="eastAsia" w:ascii="宋体" w:cs="宋体"/>
              </w:rPr>
              <w:t>(4)未提供售后服务方案的，不得分。</w:t>
            </w:r>
          </w:p>
        </w:tc>
      </w:tr>
      <w:tr w14:paraId="6C96144F">
        <w:tblPrEx>
          <w:tblCellMar>
            <w:top w:w="0" w:type="dxa"/>
            <w:left w:w="108" w:type="dxa"/>
            <w:bottom w:w="0" w:type="dxa"/>
            <w:right w:w="108" w:type="dxa"/>
          </w:tblCellMar>
        </w:tblPrEx>
        <w:trPr>
          <w:trHeight w:val="500" w:hRule="atLeast"/>
        </w:trPr>
        <w:tc>
          <w:tcPr>
            <w:tcW w:w="434" w:type="pct"/>
            <w:vMerge w:val="continue"/>
            <w:tcBorders>
              <w:top w:val="single" w:color="auto" w:sz="4" w:space="0"/>
              <w:left w:val="single" w:color="auto" w:sz="4" w:space="0"/>
              <w:bottom w:val="single" w:color="auto" w:sz="4" w:space="0"/>
              <w:right w:val="single" w:color="auto" w:sz="4" w:space="0"/>
            </w:tcBorders>
            <w:vAlign w:val="center"/>
          </w:tcPr>
          <w:p w14:paraId="2E7D7FF6">
            <w:pPr>
              <w:widowControl/>
              <w:spacing w:line="360" w:lineRule="auto"/>
              <w:jc w:val="center"/>
              <w:rPr>
                <w:rFonts w:ascii="宋体" w:hAnsi="宋体" w:cs="宋体"/>
              </w:rPr>
            </w:pPr>
          </w:p>
        </w:tc>
        <w:tc>
          <w:tcPr>
            <w:tcW w:w="503" w:type="pct"/>
            <w:tcBorders>
              <w:top w:val="single" w:color="auto" w:sz="4" w:space="0"/>
              <w:left w:val="single" w:color="auto" w:sz="4" w:space="0"/>
              <w:bottom w:val="single" w:color="auto" w:sz="4" w:space="0"/>
              <w:right w:val="single" w:color="auto" w:sz="4" w:space="0"/>
            </w:tcBorders>
            <w:vAlign w:val="center"/>
          </w:tcPr>
          <w:p w14:paraId="6AD78290">
            <w:pPr>
              <w:widowControl/>
              <w:spacing w:line="360" w:lineRule="auto"/>
              <w:jc w:val="center"/>
              <w:rPr>
                <w:rFonts w:ascii="宋体" w:hAnsi="宋体" w:cs="宋体"/>
                <w:highlight w:val="none"/>
              </w:rPr>
            </w:pPr>
            <w:r>
              <w:rPr>
                <w:rFonts w:hint="eastAsia" w:ascii="宋体" w:hAnsi="宋体" w:cs="宋体"/>
                <w:highlight w:val="none"/>
                <w:lang w:val="en-US" w:eastAsia="zh-CN"/>
              </w:rPr>
              <w:t>施工过程中保供</w:t>
            </w:r>
            <w:r>
              <w:rPr>
                <w:rFonts w:hint="eastAsia" w:ascii="宋体" w:hAnsi="宋体" w:cs="宋体"/>
                <w:highlight w:val="none"/>
              </w:rPr>
              <w:t>方案</w:t>
            </w:r>
          </w:p>
        </w:tc>
        <w:tc>
          <w:tcPr>
            <w:tcW w:w="527" w:type="pct"/>
            <w:tcBorders>
              <w:top w:val="single" w:color="auto" w:sz="4" w:space="0"/>
              <w:left w:val="single" w:color="auto" w:sz="4" w:space="0"/>
              <w:bottom w:val="single" w:color="auto" w:sz="4" w:space="0"/>
              <w:right w:val="single" w:color="auto" w:sz="4" w:space="0"/>
            </w:tcBorders>
            <w:vAlign w:val="center"/>
          </w:tcPr>
          <w:p w14:paraId="3FA579E9">
            <w:pPr>
              <w:widowControl/>
              <w:spacing w:line="360" w:lineRule="auto"/>
              <w:jc w:val="center"/>
              <w:rPr>
                <w:rFonts w:ascii="宋体" w:hAnsi="宋体" w:cs="宋体"/>
                <w:highlight w:val="none"/>
              </w:rPr>
            </w:pPr>
            <w:r>
              <w:rPr>
                <w:rFonts w:hint="eastAsia" w:ascii="宋体" w:hAnsi="宋体" w:cs="宋体"/>
                <w:highlight w:val="none"/>
              </w:rPr>
              <w:t>1</w:t>
            </w:r>
            <w:r>
              <w:rPr>
                <w:rFonts w:hint="eastAsia" w:ascii="宋体" w:hAnsi="宋体" w:cs="宋体"/>
                <w:highlight w:val="none"/>
                <w:lang w:val="en-US" w:eastAsia="zh-CN"/>
              </w:rPr>
              <w:t>2</w:t>
            </w:r>
            <w:r>
              <w:rPr>
                <w:rFonts w:hint="eastAsia" w:ascii="宋体" w:hAnsi="宋体" w:cs="宋体"/>
                <w:highlight w:val="none"/>
              </w:rPr>
              <w:t>分</w:t>
            </w:r>
          </w:p>
        </w:tc>
        <w:tc>
          <w:tcPr>
            <w:tcW w:w="3536" w:type="pct"/>
            <w:tcBorders>
              <w:top w:val="single" w:color="auto" w:sz="4" w:space="0"/>
              <w:left w:val="single" w:color="auto" w:sz="4" w:space="0"/>
              <w:bottom w:val="single" w:color="auto" w:sz="4" w:space="0"/>
              <w:right w:val="single" w:color="auto" w:sz="4" w:space="0"/>
            </w:tcBorders>
          </w:tcPr>
          <w:p w14:paraId="751E60BE">
            <w:pPr>
              <w:spacing w:line="360" w:lineRule="auto"/>
              <w:rPr>
                <w:rFonts w:hint="eastAsia" w:ascii="宋体" w:cs="宋体"/>
                <w:highlight w:val="none"/>
              </w:rPr>
            </w:pPr>
            <w:r>
              <w:rPr>
                <w:rFonts w:hint="eastAsia" w:ascii="宋体" w:cs="宋体"/>
                <w:highlight w:val="none"/>
              </w:rPr>
              <w:t>根据投标人提供的针对本项目的</w:t>
            </w:r>
            <w:r>
              <w:rPr>
                <w:rFonts w:hint="eastAsia" w:ascii="宋体" w:hAnsi="宋体" w:cs="宋体"/>
                <w:highlight w:val="none"/>
                <w:lang w:val="en-US" w:eastAsia="zh-CN"/>
              </w:rPr>
              <w:t>施工过程中保供</w:t>
            </w:r>
            <w:r>
              <w:rPr>
                <w:rFonts w:hint="eastAsia" w:ascii="宋体" w:cs="宋体"/>
                <w:highlight w:val="none"/>
                <w:lang w:val="en-US" w:eastAsia="zh-CN"/>
              </w:rPr>
              <w:t>方</w:t>
            </w:r>
            <w:r>
              <w:rPr>
                <w:rFonts w:hint="eastAsia" w:ascii="宋体" w:cs="宋体"/>
                <w:highlight w:val="none"/>
              </w:rPr>
              <w:t>案进行评分，方案至少涵盖</w:t>
            </w:r>
            <w:r>
              <w:rPr>
                <w:rFonts w:hint="eastAsia" w:ascii="宋体" w:cs="宋体"/>
                <w:highlight w:val="none"/>
                <w:lang w:val="en-US" w:eastAsia="zh-CN"/>
              </w:rPr>
              <w:t>施工过程中维持水厂正常运转、遇到</w:t>
            </w:r>
            <w:r>
              <w:rPr>
                <w:rFonts w:hint="eastAsia" w:ascii="宋体" w:cs="宋体"/>
                <w:highlight w:val="none"/>
              </w:rPr>
              <w:t xml:space="preserve">自然灾害等突发不可预见紧急情况处置、供水安全应急保障等内容。 </w:t>
            </w:r>
          </w:p>
          <w:p w14:paraId="0998D4A3">
            <w:pPr>
              <w:spacing w:line="360" w:lineRule="auto"/>
              <w:rPr>
                <w:rFonts w:hint="eastAsia" w:ascii="宋体" w:cs="宋体"/>
                <w:highlight w:val="none"/>
              </w:rPr>
            </w:pPr>
            <w:r>
              <w:rPr>
                <w:rFonts w:hint="eastAsia" w:ascii="宋体" w:cs="宋体"/>
                <w:highlight w:val="none"/>
              </w:rPr>
              <w:t>(1)方案完善、针对性强，优于本项目需求的，得1</w:t>
            </w:r>
            <w:r>
              <w:rPr>
                <w:rFonts w:hint="eastAsia" w:ascii="宋体" w:cs="宋体"/>
                <w:highlight w:val="none"/>
                <w:lang w:val="en-US" w:eastAsia="zh-CN"/>
              </w:rPr>
              <w:t>2</w:t>
            </w:r>
            <w:r>
              <w:rPr>
                <w:rFonts w:hint="eastAsia" w:ascii="宋体" w:cs="宋体"/>
                <w:highlight w:val="none"/>
              </w:rPr>
              <w:t>分;</w:t>
            </w:r>
          </w:p>
          <w:p w14:paraId="72F33D46">
            <w:pPr>
              <w:spacing w:line="360" w:lineRule="auto"/>
              <w:rPr>
                <w:rFonts w:hint="eastAsia" w:ascii="宋体" w:cs="宋体"/>
                <w:highlight w:val="none"/>
              </w:rPr>
            </w:pPr>
            <w:r>
              <w:rPr>
                <w:rFonts w:hint="eastAsia" w:ascii="宋体" w:cs="宋体"/>
                <w:highlight w:val="none"/>
              </w:rPr>
              <w:t>(2)方案要素齐全，满足本项目需求的，得</w:t>
            </w:r>
            <w:r>
              <w:rPr>
                <w:rFonts w:hint="eastAsia" w:ascii="宋体" w:cs="宋体"/>
                <w:highlight w:val="none"/>
                <w:lang w:val="en-US" w:eastAsia="zh-CN"/>
              </w:rPr>
              <w:t>10</w:t>
            </w:r>
            <w:r>
              <w:rPr>
                <w:rFonts w:hint="eastAsia" w:ascii="宋体" w:cs="宋体"/>
                <w:highlight w:val="none"/>
              </w:rPr>
              <w:t>分;</w:t>
            </w:r>
          </w:p>
          <w:p w14:paraId="161D71E4">
            <w:pPr>
              <w:spacing w:line="360" w:lineRule="auto"/>
              <w:rPr>
                <w:rFonts w:hint="eastAsia" w:ascii="宋体" w:cs="宋体"/>
                <w:highlight w:val="none"/>
              </w:rPr>
            </w:pPr>
            <w:r>
              <w:rPr>
                <w:rFonts w:hint="eastAsia" w:ascii="宋体" w:cs="宋体"/>
                <w:highlight w:val="none"/>
              </w:rPr>
              <w:t>(3)</w:t>
            </w:r>
            <w:r>
              <w:rPr>
                <w:rFonts w:hint="eastAsia" w:ascii="宋体" w:cs="宋体"/>
                <w:lang w:eastAsia="zh-CN"/>
              </w:rPr>
              <w:t>方案内容简单一般的得</w:t>
            </w:r>
            <w:r>
              <w:rPr>
                <w:rFonts w:hint="eastAsia" w:ascii="宋体" w:cs="宋体"/>
                <w:highlight w:val="none"/>
                <w:lang w:val="en-US" w:eastAsia="zh-CN"/>
              </w:rPr>
              <w:t>8</w:t>
            </w:r>
            <w:r>
              <w:rPr>
                <w:rFonts w:hint="eastAsia" w:ascii="宋体" w:cs="宋体"/>
                <w:highlight w:val="none"/>
              </w:rPr>
              <w:t>分;</w:t>
            </w:r>
          </w:p>
          <w:p w14:paraId="15AEB1DF">
            <w:pPr>
              <w:spacing w:line="360" w:lineRule="auto"/>
              <w:rPr>
                <w:rFonts w:hint="eastAsia" w:ascii="宋体" w:cs="宋体"/>
                <w:highlight w:val="none"/>
              </w:rPr>
            </w:pPr>
            <w:r>
              <w:rPr>
                <w:rFonts w:hint="eastAsia" w:ascii="宋体" w:cs="宋体"/>
                <w:highlight w:val="none"/>
              </w:rPr>
              <w:t>(4)未提供售后服务方案的，不得分。</w:t>
            </w:r>
          </w:p>
        </w:tc>
      </w:tr>
      <w:tr w14:paraId="2A5FE57A">
        <w:tblPrEx>
          <w:tblCellMar>
            <w:top w:w="0" w:type="dxa"/>
            <w:left w:w="108" w:type="dxa"/>
            <w:bottom w:w="0" w:type="dxa"/>
            <w:right w:w="108" w:type="dxa"/>
          </w:tblCellMar>
        </w:tblPrEx>
        <w:trPr>
          <w:trHeight w:val="500" w:hRule="atLeast"/>
        </w:trPr>
        <w:tc>
          <w:tcPr>
            <w:tcW w:w="434" w:type="pct"/>
            <w:vMerge w:val="continue"/>
            <w:tcBorders>
              <w:top w:val="single" w:color="auto" w:sz="4" w:space="0"/>
              <w:left w:val="single" w:color="auto" w:sz="4" w:space="0"/>
              <w:bottom w:val="single" w:color="auto" w:sz="4" w:space="0"/>
              <w:right w:val="single" w:color="auto" w:sz="4" w:space="0"/>
            </w:tcBorders>
            <w:vAlign w:val="center"/>
          </w:tcPr>
          <w:p w14:paraId="77EAB6FF">
            <w:pPr>
              <w:widowControl/>
              <w:spacing w:line="360" w:lineRule="auto"/>
              <w:jc w:val="center"/>
              <w:rPr>
                <w:rFonts w:ascii="宋体" w:hAnsi="宋体" w:cs="宋体"/>
              </w:rPr>
            </w:pPr>
          </w:p>
        </w:tc>
        <w:tc>
          <w:tcPr>
            <w:tcW w:w="503" w:type="pct"/>
            <w:tcBorders>
              <w:top w:val="single" w:color="auto" w:sz="4" w:space="0"/>
              <w:left w:val="single" w:color="auto" w:sz="4" w:space="0"/>
              <w:bottom w:val="single" w:color="auto" w:sz="4" w:space="0"/>
              <w:right w:val="single" w:color="auto" w:sz="4" w:space="0"/>
            </w:tcBorders>
            <w:vAlign w:val="center"/>
          </w:tcPr>
          <w:p w14:paraId="7F1CE148">
            <w:pPr>
              <w:widowControl/>
              <w:spacing w:line="360" w:lineRule="auto"/>
              <w:jc w:val="center"/>
              <w:rPr>
                <w:rFonts w:ascii="宋体" w:hAnsi="宋体" w:cs="宋体"/>
                <w:highlight w:val="none"/>
              </w:rPr>
            </w:pPr>
            <w:r>
              <w:rPr>
                <w:rFonts w:hint="eastAsia" w:ascii="宋体" w:hAnsi="宋体" w:cs="宋体"/>
                <w:highlight w:val="none"/>
              </w:rPr>
              <w:t>项目培训方案</w:t>
            </w:r>
          </w:p>
        </w:tc>
        <w:tc>
          <w:tcPr>
            <w:tcW w:w="527" w:type="pct"/>
            <w:tcBorders>
              <w:top w:val="single" w:color="auto" w:sz="4" w:space="0"/>
              <w:left w:val="single" w:color="auto" w:sz="4" w:space="0"/>
              <w:bottom w:val="single" w:color="auto" w:sz="4" w:space="0"/>
              <w:right w:val="single" w:color="auto" w:sz="4" w:space="0"/>
            </w:tcBorders>
            <w:vAlign w:val="center"/>
          </w:tcPr>
          <w:p w14:paraId="46374487">
            <w:pPr>
              <w:widowControl/>
              <w:spacing w:line="360" w:lineRule="auto"/>
              <w:jc w:val="center"/>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分</w:t>
            </w:r>
          </w:p>
        </w:tc>
        <w:tc>
          <w:tcPr>
            <w:tcW w:w="3536" w:type="pct"/>
            <w:tcBorders>
              <w:top w:val="single" w:color="auto" w:sz="4" w:space="0"/>
              <w:left w:val="single" w:color="auto" w:sz="4" w:space="0"/>
              <w:bottom w:val="single" w:color="auto" w:sz="4" w:space="0"/>
              <w:right w:val="single" w:color="auto" w:sz="4" w:space="0"/>
            </w:tcBorders>
          </w:tcPr>
          <w:p w14:paraId="3D6705EA">
            <w:pPr>
              <w:spacing w:line="360" w:lineRule="auto"/>
              <w:rPr>
                <w:rFonts w:hint="eastAsia" w:ascii="宋体" w:cs="宋体"/>
                <w:highlight w:val="none"/>
              </w:rPr>
            </w:pPr>
            <w:r>
              <w:rPr>
                <w:rFonts w:hint="eastAsia" w:ascii="宋体" w:cs="宋体"/>
                <w:highlight w:val="none"/>
              </w:rPr>
              <w:t>根据投标人提供的项目培训方案进行评分，方案至少包括培训技术人员安排、培训频率、培训内容。</w:t>
            </w:r>
          </w:p>
          <w:p w14:paraId="29A5E5AC">
            <w:pPr>
              <w:spacing w:line="360" w:lineRule="auto"/>
              <w:rPr>
                <w:rFonts w:hint="eastAsia" w:ascii="宋体" w:cs="宋体"/>
                <w:highlight w:val="none"/>
              </w:rPr>
            </w:pPr>
            <w:r>
              <w:rPr>
                <w:rFonts w:hint="eastAsia" w:ascii="宋体" w:cs="宋体"/>
                <w:highlight w:val="none"/>
              </w:rPr>
              <w:t>(1)方案完善、针对性强，优于本项目需求的，得</w:t>
            </w:r>
            <w:r>
              <w:rPr>
                <w:rFonts w:hint="eastAsia" w:ascii="宋体" w:cs="宋体"/>
                <w:highlight w:val="none"/>
                <w:lang w:val="en-US" w:eastAsia="zh-CN"/>
              </w:rPr>
              <w:t>8</w:t>
            </w:r>
            <w:r>
              <w:rPr>
                <w:rFonts w:hint="eastAsia" w:ascii="宋体" w:cs="宋体"/>
                <w:highlight w:val="none"/>
              </w:rPr>
              <w:t>分;</w:t>
            </w:r>
          </w:p>
          <w:p w14:paraId="6AD8156D">
            <w:pPr>
              <w:spacing w:line="360" w:lineRule="auto"/>
              <w:rPr>
                <w:rFonts w:hint="eastAsia" w:ascii="宋体" w:cs="宋体"/>
                <w:highlight w:val="none"/>
              </w:rPr>
            </w:pPr>
            <w:r>
              <w:rPr>
                <w:rFonts w:hint="eastAsia" w:ascii="宋体" w:cs="宋体"/>
                <w:highlight w:val="none"/>
              </w:rPr>
              <w:t>(2)方案要素齐全，满足本项目需求的，得</w:t>
            </w:r>
            <w:r>
              <w:rPr>
                <w:rFonts w:hint="eastAsia" w:ascii="宋体" w:cs="宋体"/>
                <w:highlight w:val="none"/>
                <w:lang w:val="en-US" w:eastAsia="zh-CN"/>
              </w:rPr>
              <w:t>6</w:t>
            </w:r>
            <w:r>
              <w:rPr>
                <w:rFonts w:hint="eastAsia" w:ascii="宋体" w:cs="宋体"/>
                <w:highlight w:val="none"/>
              </w:rPr>
              <w:t>分;</w:t>
            </w:r>
          </w:p>
          <w:p w14:paraId="071040B7">
            <w:pPr>
              <w:spacing w:line="360" w:lineRule="auto"/>
              <w:rPr>
                <w:rFonts w:hint="eastAsia" w:ascii="宋体" w:cs="宋体"/>
                <w:highlight w:val="none"/>
              </w:rPr>
            </w:pPr>
            <w:r>
              <w:rPr>
                <w:rFonts w:hint="eastAsia" w:ascii="宋体" w:cs="宋体"/>
                <w:highlight w:val="none"/>
              </w:rPr>
              <w:t>(3)方</w:t>
            </w:r>
            <w:r>
              <w:rPr>
                <w:rFonts w:hint="eastAsia" w:ascii="宋体" w:cs="宋体"/>
                <w:lang w:eastAsia="zh-CN"/>
              </w:rPr>
              <w:t>案内容简单一般的得</w:t>
            </w:r>
            <w:r>
              <w:rPr>
                <w:rFonts w:hint="eastAsia" w:ascii="宋体" w:cs="宋体"/>
                <w:highlight w:val="none"/>
                <w:lang w:val="en-US" w:eastAsia="zh-CN"/>
              </w:rPr>
              <w:t>4</w:t>
            </w:r>
            <w:r>
              <w:rPr>
                <w:rFonts w:hint="eastAsia" w:ascii="宋体" w:cs="宋体"/>
                <w:highlight w:val="none"/>
              </w:rPr>
              <w:t>分;</w:t>
            </w:r>
          </w:p>
          <w:p w14:paraId="35FCE61C">
            <w:pPr>
              <w:spacing w:line="360" w:lineRule="auto"/>
              <w:rPr>
                <w:rFonts w:hint="eastAsia" w:ascii="宋体" w:cs="宋体"/>
                <w:highlight w:val="none"/>
              </w:rPr>
            </w:pPr>
            <w:r>
              <w:rPr>
                <w:rFonts w:hint="eastAsia" w:ascii="宋体" w:cs="宋体"/>
                <w:highlight w:val="none"/>
              </w:rPr>
              <w:t>(4)未提供售后服务方案的，不得分。</w:t>
            </w:r>
          </w:p>
        </w:tc>
      </w:tr>
      <w:tr w14:paraId="7F3B34CC">
        <w:tblPrEx>
          <w:tblCellMar>
            <w:top w:w="0" w:type="dxa"/>
            <w:left w:w="108" w:type="dxa"/>
            <w:bottom w:w="0" w:type="dxa"/>
            <w:right w:w="108" w:type="dxa"/>
          </w:tblCellMar>
        </w:tblPrEx>
        <w:trPr>
          <w:trHeight w:val="558" w:hRule="atLeast"/>
        </w:trPr>
        <w:tc>
          <w:tcPr>
            <w:tcW w:w="434" w:type="pct"/>
            <w:tcBorders>
              <w:top w:val="single" w:color="auto" w:sz="4" w:space="0"/>
              <w:left w:val="single" w:color="000000" w:sz="4" w:space="0"/>
              <w:bottom w:val="single" w:color="000000" w:sz="4" w:space="0"/>
              <w:right w:val="single" w:color="000000" w:sz="4" w:space="0"/>
            </w:tcBorders>
            <w:shd w:val="clear" w:color="auto" w:fill="auto"/>
            <w:vAlign w:val="center"/>
          </w:tcPr>
          <w:p w14:paraId="73FD15D6">
            <w:pPr>
              <w:widowControl/>
              <w:spacing w:line="360" w:lineRule="auto"/>
              <w:jc w:val="center"/>
              <w:rPr>
                <w:rFonts w:ascii="宋体" w:hAnsi="宋体" w:cs="宋体"/>
              </w:rPr>
            </w:pPr>
            <w:r>
              <w:rPr>
                <w:rFonts w:hint="eastAsia" w:ascii="宋体" w:hAnsi="宋体" w:cs="宋体"/>
              </w:rPr>
              <w:t>3</w:t>
            </w:r>
          </w:p>
        </w:tc>
        <w:tc>
          <w:tcPr>
            <w:tcW w:w="503" w:type="pct"/>
            <w:tcBorders>
              <w:top w:val="single" w:color="auto" w:sz="4" w:space="0"/>
              <w:left w:val="single" w:color="000000" w:sz="4" w:space="0"/>
              <w:bottom w:val="single" w:color="000000" w:sz="4" w:space="0"/>
              <w:right w:val="single" w:color="000000" w:sz="4" w:space="0"/>
            </w:tcBorders>
            <w:shd w:val="clear" w:color="auto" w:fill="auto"/>
            <w:vAlign w:val="center"/>
          </w:tcPr>
          <w:p w14:paraId="1146EB2F">
            <w:pPr>
              <w:widowControl/>
              <w:spacing w:line="360" w:lineRule="auto"/>
              <w:jc w:val="center"/>
              <w:rPr>
                <w:rFonts w:ascii="宋体" w:hAnsi="宋体" w:cs="宋体"/>
              </w:rPr>
            </w:pPr>
            <w:r>
              <w:rPr>
                <w:rFonts w:hint="eastAsia" w:ascii="宋体" w:hAnsi="宋体" w:cs="宋体"/>
              </w:rPr>
              <w:t>商务部分</w:t>
            </w:r>
          </w:p>
        </w:tc>
        <w:tc>
          <w:tcPr>
            <w:tcW w:w="527" w:type="pct"/>
            <w:tcBorders>
              <w:top w:val="single" w:color="auto" w:sz="4" w:space="0"/>
              <w:left w:val="single" w:color="000000" w:sz="4" w:space="0"/>
              <w:bottom w:val="single" w:color="000000" w:sz="4" w:space="0"/>
              <w:right w:val="single" w:color="000000" w:sz="4" w:space="0"/>
            </w:tcBorders>
            <w:shd w:val="clear" w:color="auto" w:fill="auto"/>
            <w:vAlign w:val="center"/>
          </w:tcPr>
          <w:p w14:paraId="0F223692">
            <w:pPr>
              <w:widowControl/>
              <w:spacing w:line="360" w:lineRule="auto"/>
              <w:jc w:val="center"/>
              <w:rPr>
                <w:rFonts w:ascii="宋体" w:hAnsi="宋体" w:cs="宋体"/>
              </w:rPr>
            </w:pPr>
            <w:r>
              <w:rPr>
                <w:rFonts w:hint="eastAsia" w:ascii="宋体" w:hAnsi="宋体" w:cs="宋体"/>
                <w:lang w:val="en-US" w:eastAsia="zh-CN"/>
              </w:rPr>
              <w:t>5</w:t>
            </w:r>
            <w:r>
              <w:rPr>
                <w:rFonts w:hint="eastAsia" w:ascii="宋体" w:hAnsi="宋体" w:cs="宋体"/>
              </w:rPr>
              <w:t>分</w:t>
            </w:r>
          </w:p>
        </w:tc>
        <w:tc>
          <w:tcPr>
            <w:tcW w:w="3536" w:type="pct"/>
            <w:tcBorders>
              <w:top w:val="single" w:color="auto" w:sz="4" w:space="0"/>
              <w:left w:val="single" w:color="000000" w:sz="4" w:space="0"/>
              <w:bottom w:val="single" w:color="000000" w:sz="4" w:space="0"/>
              <w:right w:val="single" w:color="000000" w:sz="4" w:space="0"/>
            </w:tcBorders>
            <w:shd w:val="clear" w:color="auto" w:fill="auto"/>
            <w:vAlign w:val="center"/>
          </w:tcPr>
          <w:p w14:paraId="509B7613">
            <w:pPr>
              <w:spacing w:line="360" w:lineRule="auto"/>
            </w:pPr>
            <w:r>
              <w:rPr>
                <w:rFonts w:hint="eastAsia"/>
              </w:rPr>
              <w:t>投标人具有ISO22301业务连续性管理体系认证、ISO20000信息技术服务管理体系认证、ISO9001质量管理体系认证、数据存储安全管理体系认证、ISO27001信息安全管理体系认证，每具有一个证书得1分。最高得</w:t>
            </w:r>
            <w:r>
              <w:t>5</w:t>
            </w:r>
            <w:r>
              <w:rPr>
                <w:rFonts w:hint="eastAsia"/>
              </w:rPr>
              <w:t>分。（提供有效期内证书原件彩色扫描件或网站截图并加盖投标人公章，未提供不得分）</w:t>
            </w:r>
          </w:p>
        </w:tc>
      </w:tr>
      <w:tr w14:paraId="650B2C52">
        <w:tblPrEx>
          <w:tblCellMar>
            <w:top w:w="0" w:type="dxa"/>
            <w:left w:w="108" w:type="dxa"/>
            <w:bottom w:w="0" w:type="dxa"/>
            <w:right w:w="108" w:type="dxa"/>
          </w:tblCellMar>
        </w:tblPrEx>
        <w:trPr>
          <w:trHeight w:val="147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1432">
            <w:pPr>
              <w:widowControl/>
              <w:spacing w:line="360" w:lineRule="auto"/>
              <w:jc w:val="center"/>
              <w:rPr>
                <w:rFonts w:ascii="宋体" w:hAnsi="宋体" w:cs="宋体"/>
              </w:rPr>
            </w:pPr>
            <w:r>
              <w:rPr>
                <w:rFonts w:hint="eastAsia" w:ascii="宋体" w:hAnsi="宋体" w:cs="宋体"/>
              </w:rPr>
              <w:t>4</w:t>
            </w: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EF206">
            <w:pPr>
              <w:widowControl/>
              <w:spacing w:line="360" w:lineRule="auto"/>
              <w:jc w:val="center"/>
              <w:rPr>
                <w:rFonts w:ascii="宋体" w:hAnsi="宋体" w:cs="宋体"/>
              </w:rPr>
            </w:pPr>
            <w:r>
              <w:rPr>
                <w:rFonts w:hint="eastAsia" w:ascii="宋体" w:hAnsi="宋体" w:cs="宋体"/>
              </w:rPr>
              <w:t>产品技术能力</w:t>
            </w: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79B22">
            <w:pPr>
              <w:widowControl/>
              <w:spacing w:line="360" w:lineRule="auto"/>
              <w:jc w:val="center"/>
              <w:rPr>
                <w:rFonts w:ascii="宋体" w:hAnsi="宋体" w:cs="宋体"/>
              </w:rPr>
            </w:pPr>
            <w:r>
              <w:rPr>
                <w:rFonts w:hint="eastAsia" w:ascii="宋体" w:hAnsi="宋体" w:cs="宋体"/>
                <w:lang w:val="en-US" w:eastAsia="zh-CN"/>
              </w:rPr>
              <w:t>14</w:t>
            </w:r>
            <w:r>
              <w:rPr>
                <w:rFonts w:hint="eastAsia" w:ascii="宋体" w:hAnsi="宋体" w:cs="宋体"/>
              </w:rPr>
              <w:t xml:space="preserve">分 </w:t>
            </w:r>
          </w:p>
        </w:tc>
        <w:tc>
          <w:tcPr>
            <w:tcW w:w="3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6F718">
            <w:pPr>
              <w:spacing w:after="40" w:line="276" w:lineRule="auto"/>
              <w:rPr>
                <w:rFonts w:hint="eastAsia" w:ascii="Calibri" w:hAnsi="Calibri" w:eastAsia="宋体"/>
                <w:sz w:val="20"/>
                <w:szCs w:val="20"/>
                <w:lang w:val="en-US" w:eastAsia="zh-CN"/>
              </w:rPr>
            </w:pPr>
            <w:r>
              <w:rPr>
                <w:rFonts w:hint="eastAsia" w:ascii="Calibri" w:hAnsi="Calibri"/>
                <w:sz w:val="20"/>
                <w:szCs w:val="20"/>
              </w:rPr>
              <w:t>投标人应围绕本项目三项智能模型进行视频演示</w:t>
            </w:r>
            <w:r>
              <w:rPr>
                <w:rFonts w:hint="eastAsia" w:ascii="Calibri" w:hAnsi="Calibri"/>
                <w:sz w:val="20"/>
                <w:szCs w:val="20"/>
                <w:lang w:val="en-US" w:eastAsia="zh-CN"/>
              </w:rPr>
              <w:t>讲解</w:t>
            </w:r>
            <w:r>
              <w:rPr>
                <w:rFonts w:hint="eastAsia" w:ascii="Calibri" w:hAnsi="Calibri"/>
                <w:sz w:val="20"/>
                <w:szCs w:val="20"/>
              </w:rPr>
              <w:t>，视频总时长不超过15分钟。评标委员会按下列功能完整性、运行逻辑、数据真实性及与本项目的匹配程度逐项评分；未演示、演示内容缺项或不能满足要求的，对应项不得分。</w:t>
            </w:r>
          </w:p>
          <w:p w14:paraId="64C4F88D">
            <w:pPr>
              <w:spacing w:after="40" w:line="276" w:lineRule="auto"/>
              <w:rPr>
                <w:rFonts w:hint="eastAsia" w:ascii="Calibri" w:hAnsi="Calibri"/>
                <w:sz w:val="20"/>
                <w:szCs w:val="20"/>
              </w:rPr>
            </w:pPr>
            <w:r>
              <w:rPr>
                <w:rFonts w:hint="eastAsia" w:ascii="Calibri" w:hAnsi="Calibri"/>
                <w:sz w:val="20"/>
                <w:szCs w:val="20"/>
              </w:rPr>
              <w:t>演示内容及分值：</w:t>
            </w:r>
          </w:p>
          <w:p w14:paraId="06081F1C">
            <w:pPr>
              <w:spacing w:after="40" w:line="276" w:lineRule="auto"/>
              <w:rPr>
                <w:rFonts w:ascii="Calibri" w:hAnsi="Calibri"/>
                <w:sz w:val="20"/>
                <w:szCs w:val="20"/>
              </w:rPr>
            </w:pPr>
            <w:r>
              <w:rPr>
                <w:rFonts w:hint="eastAsia" w:ascii="Calibri" w:hAnsi="Calibri"/>
                <w:sz w:val="20"/>
                <w:szCs w:val="20"/>
              </w:rPr>
              <w:t>（1）智能加矾模型—数据展示与辅助决策（</w:t>
            </w:r>
            <w:r>
              <w:rPr>
                <w:rFonts w:hint="eastAsia" w:ascii="Calibri" w:hAnsi="Calibri"/>
                <w:sz w:val="20"/>
                <w:szCs w:val="20"/>
                <w:lang w:val="en-US" w:eastAsia="zh-CN"/>
              </w:rPr>
              <w:t>2</w:t>
            </w:r>
            <w:r>
              <w:rPr>
                <w:rFonts w:hint="eastAsia" w:ascii="Calibri" w:hAnsi="Calibri"/>
                <w:sz w:val="20"/>
                <w:szCs w:val="20"/>
              </w:rPr>
              <w:t>分）：展示模型输入因子及影响权重、实际与推荐加药流量、沉后浊度实时预测，以及实际值与模型值的趋势对比。完整演示得</w:t>
            </w:r>
            <w:r>
              <w:rPr>
                <w:rFonts w:hint="eastAsia" w:ascii="Calibri" w:hAnsi="Calibri"/>
                <w:sz w:val="20"/>
                <w:szCs w:val="20"/>
                <w:lang w:val="en-US" w:eastAsia="zh-CN"/>
              </w:rPr>
              <w:t>2</w:t>
            </w:r>
            <w:r>
              <w:rPr>
                <w:rFonts w:hint="eastAsia" w:ascii="Calibri" w:hAnsi="Calibri"/>
                <w:sz w:val="20"/>
                <w:szCs w:val="20"/>
              </w:rPr>
              <w:t>分，缺少任一关键内容不得分。</w:t>
            </w:r>
          </w:p>
          <w:p w14:paraId="1C781F17">
            <w:pPr>
              <w:spacing w:after="40" w:line="276" w:lineRule="auto"/>
              <w:rPr>
                <w:rFonts w:ascii="Calibri" w:hAnsi="Calibri"/>
                <w:sz w:val="20"/>
                <w:szCs w:val="20"/>
              </w:rPr>
            </w:pPr>
            <w:r>
              <w:rPr>
                <w:rFonts w:hint="eastAsia" w:ascii="Calibri" w:hAnsi="Calibri"/>
                <w:sz w:val="20"/>
                <w:szCs w:val="20"/>
              </w:rPr>
              <w:t>（2）智能加矾模型—药耗与运行分析（</w:t>
            </w:r>
            <w:r>
              <w:rPr>
                <w:rFonts w:hint="eastAsia" w:ascii="Calibri" w:hAnsi="Calibri"/>
                <w:sz w:val="20"/>
                <w:szCs w:val="20"/>
                <w:lang w:val="en-US" w:eastAsia="zh-CN"/>
              </w:rPr>
              <w:t>1</w:t>
            </w:r>
            <w:r>
              <w:rPr>
                <w:rFonts w:hint="eastAsia" w:ascii="Calibri" w:hAnsi="Calibri"/>
                <w:sz w:val="20"/>
                <w:szCs w:val="20"/>
              </w:rPr>
              <w:t>分）：展示实际/预测单耗、累计药耗、预计累计节省药耗，加药流量对比、历史数据查询导出。完整演示得</w:t>
            </w:r>
            <w:r>
              <w:rPr>
                <w:rFonts w:hint="eastAsia" w:ascii="Calibri" w:hAnsi="Calibri"/>
                <w:sz w:val="20"/>
                <w:szCs w:val="20"/>
                <w:lang w:val="en-US" w:eastAsia="zh-CN"/>
              </w:rPr>
              <w:t>1</w:t>
            </w:r>
            <w:r>
              <w:rPr>
                <w:rFonts w:hint="eastAsia" w:ascii="Calibri" w:hAnsi="Calibri"/>
                <w:sz w:val="20"/>
                <w:szCs w:val="20"/>
              </w:rPr>
              <w:t>分，缺少任一关键内容不得分。</w:t>
            </w:r>
          </w:p>
          <w:p w14:paraId="276F27DB">
            <w:pPr>
              <w:spacing w:after="40" w:line="276" w:lineRule="auto"/>
              <w:rPr>
                <w:rFonts w:ascii="Calibri" w:hAnsi="Calibri"/>
                <w:sz w:val="20"/>
                <w:szCs w:val="20"/>
              </w:rPr>
            </w:pPr>
            <w:r>
              <w:rPr>
                <w:rFonts w:hint="eastAsia" w:ascii="Calibri" w:hAnsi="Calibri"/>
                <w:sz w:val="20"/>
                <w:szCs w:val="20"/>
              </w:rPr>
              <w:t>（3）智能加矾模型—模型管理与性能（</w:t>
            </w:r>
            <w:r>
              <w:rPr>
                <w:rFonts w:hint="eastAsia" w:ascii="Calibri" w:hAnsi="Calibri"/>
                <w:sz w:val="20"/>
                <w:szCs w:val="20"/>
                <w:lang w:val="en-US" w:eastAsia="zh-CN"/>
              </w:rPr>
              <w:t>2</w:t>
            </w:r>
            <w:r>
              <w:rPr>
                <w:rFonts w:hint="eastAsia" w:ascii="Calibri" w:hAnsi="Calibri"/>
                <w:sz w:val="20"/>
                <w:szCs w:val="20"/>
              </w:rPr>
              <w:t>分）：提供加矾流量拟合度不低于96%、沉后浊度振幅不超过15%的证明或实测界面。完整满足得</w:t>
            </w:r>
            <w:r>
              <w:rPr>
                <w:rFonts w:hint="eastAsia" w:ascii="Calibri" w:hAnsi="Calibri"/>
                <w:sz w:val="20"/>
                <w:szCs w:val="20"/>
                <w:lang w:val="en-US" w:eastAsia="zh-CN"/>
              </w:rPr>
              <w:t>2</w:t>
            </w:r>
            <w:r>
              <w:rPr>
                <w:rFonts w:hint="eastAsia" w:ascii="Calibri" w:hAnsi="Calibri"/>
                <w:sz w:val="20"/>
                <w:szCs w:val="20"/>
              </w:rPr>
              <w:t>分；缺模型更新/回滚功能扣</w:t>
            </w:r>
            <w:r>
              <w:rPr>
                <w:rFonts w:hint="eastAsia" w:ascii="Calibri" w:hAnsi="Calibri"/>
                <w:sz w:val="20"/>
                <w:szCs w:val="20"/>
                <w:lang w:val="en-US" w:eastAsia="zh-CN"/>
              </w:rPr>
              <w:t>1</w:t>
            </w:r>
            <w:r>
              <w:rPr>
                <w:rFonts w:hint="eastAsia" w:ascii="Calibri" w:hAnsi="Calibri"/>
                <w:sz w:val="20"/>
                <w:szCs w:val="20"/>
              </w:rPr>
              <w:t>分，缺性能证明扣0.</w:t>
            </w:r>
            <w:r>
              <w:rPr>
                <w:rFonts w:hint="eastAsia" w:ascii="Calibri" w:hAnsi="Calibri"/>
                <w:sz w:val="20"/>
                <w:szCs w:val="20"/>
                <w:lang w:val="en-US" w:eastAsia="zh-CN"/>
              </w:rPr>
              <w:t>5</w:t>
            </w:r>
            <w:r>
              <w:rPr>
                <w:rFonts w:hint="eastAsia" w:ascii="Calibri" w:hAnsi="Calibri"/>
                <w:sz w:val="20"/>
                <w:szCs w:val="20"/>
              </w:rPr>
              <w:t>分。</w:t>
            </w:r>
          </w:p>
          <w:p w14:paraId="2AC05361">
            <w:pPr>
              <w:spacing w:after="40" w:line="276" w:lineRule="auto"/>
              <w:rPr>
                <w:rFonts w:ascii="Calibri" w:hAnsi="Calibri"/>
                <w:sz w:val="20"/>
                <w:szCs w:val="20"/>
              </w:rPr>
            </w:pPr>
            <w:r>
              <w:rPr>
                <w:rFonts w:hint="eastAsia" w:ascii="Calibri" w:hAnsi="Calibri"/>
                <w:sz w:val="20"/>
                <w:szCs w:val="20"/>
              </w:rPr>
              <w:t>（4）智能加氯模型—闭环控制（</w:t>
            </w:r>
            <w:r>
              <w:rPr>
                <w:rFonts w:hint="eastAsia" w:ascii="Calibri" w:hAnsi="Calibri"/>
                <w:sz w:val="20"/>
                <w:szCs w:val="20"/>
                <w:lang w:val="en-US" w:eastAsia="zh-CN"/>
              </w:rPr>
              <w:t>2</w:t>
            </w:r>
            <w:r>
              <w:rPr>
                <w:rFonts w:hint="eastAsia" w:ascii="Calibri" w:hAnsi="Calibri"/>
                <w:sz w:val="20"/>
                <w:szCs w:val="20"/>
              </w:rPr>
              <w:t>分）：展示前加氯、后加氯和补加氯的精细化投加，基于余氯、流量、pH等参数的前馈—反馈闭环调节，以及多水源和不同消毒方式配置。完整演示得</w:t>
            </w:r>
            <w:r>
              <w:rPr>
                <w:rFonts w:hint="eastAsia" w:ascii="Calibri" w:hAnsi="Calibri"/>
                <w:sz w:val="20"/>
                <w:szCs w:val="20"/>
                <w:lang w:val="en-US" w:eastAsia="zh-CN"/>
              </w:rPr>
              <w:t>2</w:t>
            </w:r>
            <w:r>
              <w:rPr>
                <w:rFonts w:hint="eastAsia" w:ascii="Calibri" w:hAnsi="Calibri"/>
                <w:sz w:val="20"/>
                <w:szCs w:val="20"/>
              </w:rPr>
              <w:t>分，缺少任一关键内容不得分。</w:t>
            </w:r>
          </w:p>
          <w:p w14:paraId="58D85AAF">
            <w:pPr>
              <w:spacing w:after="40" w:line="276" w:lineRule="auto"/>
              <w:rPr>
                <w:rFonts w:ascii="Calibri" w:hAnsi="Calibri"/>
                <w:sz w:val="20"/>
                <w:szCs w:val="20"/>
              </w:rPr>
            </w:pPr>
            <w:r>
              <w:rPr>
                <w:rFonts w:hint="eastAsia" w:ascii="Calibri" w:hAnsi="Calibri"/>
                <w:sz w:val="20"/>
                <w:szCs w:val="20"/>
              </w:rPr>
              <w:t>（5）智能加氯模型—数据、集成与应急响应（</w:t>
            </w:r>
            <w:r>
              <w:rPr>
                <w:rFonts w:hint="eastAsia" w:ascii="Calibri" w:hAnsi="Calibri"/>
                <w:sz w:val="20"/>
                <w:szCs w:val="20"/>
                <w:lang w:val="en-US" w:eastAsia="zh-CN"/>
              </w:rPr>
              <w:t>1</w:t>
            </w:r>
            <w:r>
              <w:rPr>
                <w:rFonts w:hint="eastAsia" w:ascii="Calibri" w:hAnsi="Calibri"/>
                <w:sz w:val="20"/>
                <w:szCs w:val="20"/>
              </w:rPr>
              <w:t>分）：展示原水流量、浊度、温度、pH、氨氮等数据采集分析，与现有自控/SCADA系统的数据交互，以及水质突变或氨氮升高时的自动调整。完整演示得</w:t>
            </w:r>
            <w:r>
              <w:rPr>
                <w:rFonts w:hint="eastAsia" w:ascii="Calibri" w:hAnsi="Calibri"/>
                <w:sz w:val="20"/>
                <w:szCs w:val="20"/>
                <w:lang w:val="en-US" w:eastAsia="zh-CN"/>
              </w:rPr>
              <w:t>1</w:t>
            </w:r>
            <w:r>
              <w:rPr>
                <w:rFonts w:hint="eastAsia" w:ascii="Calibri" w:hAnsi="Calibri"/>
                <w:sz w:val="20"/>
                <w:szCs w:val="20"/>
              </w:rPr>
              <w:t>分，缺少任一关键内容不得分。</w:t>
            </w:r>
          </w:p>
          <w:p w14:paraId="27BF7379">
            <w:pPr>
              <w:spacing w:after="40" w:line="276" w:lineRule="auto"/>
              <w:rPr>
                <w:rFonts w:ascii="Calibri" w:hAnsi="Calibri"/>
                <w:sz w:val="20"/>
                <w:szCs w:val="20"/>
              </w:rPr>
            </w:pPr>
            <w:r>
              <w:rPr>
                <w:rFonts w:hint="eastAsia" w:ascii="Calibri" w:hAnsi="Calibri"/>
                <w:sz w:val="20"/>
                <w:szCs w:val="20"/>
              </w:rPr>
              <w:t>（6）智能加氯模型—自学习与性能（</w:t>
            </w:r>
            <w:r>
              <w:rPr>
                <w:rFonts w:hint="eastAsia" w:ascii="Calibri" w:hAnsi="Calibri"/>
                <w:sz w:val="20"/>
                <w:szCs w:val="20"/>
                <w:lang w:val="en-US" w:eastAsia="zh-CN"/>
              </w:rPr>
              <w:t>2</w:t>
            </w:r>
            <w:r>
              <w:rPr>
                <w:rFonts w:hint="eastAsia" w:ascii="Calibri" w:hAnsi="Calibri"/>
                <w:sz w:val="20"/>
                <w:szCs w:val="20"/>
              </w:rPr>
              <w:t>分）：展示自动更新、重训练评估、版本历史及回滚；提供数据变化响应时间不超过5秒、复杂计算响应时间不超过30秒、异常数据处理准确率不低于99%的证明或实测界面。完整满足得</w:t>
            </w:r>
            <w:r>
              <w:rPr>
                <w:rFonts w:hint="eastAsia" w:ascii="Calibri" w:hAnsi="Calibri"/>
                <w:sz w:val="20"/>
                <w:szCs w:val="20"/>
                <w:lang w:val="en-US" w:eastAsia="zh-CN"/>
              </w:rPr>
              <w:t>2</w:t>
            </w:r>
            <w:r>
              <w:rPr>
                <w:rFonts w:hint="eastAsia" w:ascii="Calibri" w:hAnsi="Calibri"/>
                <w:sz w:val="20"/>
                <w:szCs w:val="20"/>
              </w:rPr>
              <w:t>分；缺模型更新/回滚功能扣</w:t>
            </w:r>
            <w:r>
              <w:rPr>
                <w:rFonts w:hint="eastAsia" w:ascii="Calibri" w:hAnsi="Calibri"/>
                <w:sz w:val="20"/>
                <w:szCs w:val="20"/>
                <w:lang w:val="en-US" w:eastAsia="zh-CN"/>
              </w:rPr>
              <w:t>1</w:t>
            </w:r>
            <w:r>
              <w:rPr>
                <w:rFonts w:hint="eastAsia" w:ascii="Calibri" w:hAnsi="Calibri"/>
                <w:sz w:val="20"/>
                <w:szCs w:val="20"/>
              </w:rPr>
              <w:t>分，缺性能证明扣0.</w:t>
            </w:r>
            <w:r>
              <w:rPr>
                <w:rFonts w:hint="eastAsia" w:ascii="Calibri" w:hAnsi="Calibri"/>
                <w:sz w:val="20"/>
                <w:szCs w:val="20"/>
                <w:lang w:val="en-US" w:eastAsia="zh-CN"/>
              </w:rPr>
              <w:t>5</w:t>
            </w:r>
            <w:r>
              <w:rPr>
                <w:rFonts w:hint="eastAsia" w:ascii="Calibri" w:hAnsi="Calibri"/>
                <w:sz w:val="20"/>
                <w:szCs w:val="20"/>
              </w:rPr>
              <w:t>分。</w:t>
            </w:r>
          </w:p>
          <w:p w14:paraId="4EFBCCDC">
            <w:pPr>
              <w:spacing w:after="40" w:line="276" w:lineRule="auto"/>
              <w:rPr>
                <w:rFonts w:ascii="Calibri" w:hAnsi="Calibri"/>
                <w:sz w:val="20"/>
                <w:szCs w:val="20"/>
              </w:rPr>
            </w:pPr>
            <w:r>
              <w:rPr>
                <w:rFonts w:hint="eastAsia" w:ascii="Calibri" w:hAnsi="Calibri"/>
                <w:sz w:val="20"/>
                <w:szCs w:val="20"/>
              </w:rPr>
              <w:t>（7）智能泵组最优运行模型—组态与参数设置（</w:t>
            </w:r>
            <w:r>
              <w:rPr>
                <w:rFonts w:hint="eastAsia" w:ascii="Calibri" w:hAnsi="Calibri"/>
                <w:sz w:val="20"/>
                <w:szCs w:val="20"/>
                <w:lang w:val="en-US" w:eastAsia="zh-CN"/>
              </w:rPr>
              <w:t>1</w:t>
            </w:r>
            <w:r>
              <w:rPr>
                <w:rFonts w:hint="eastAsia" w:ascii="Calibri" w:hAnsi="Calibri"/>
                <w:sz w:val="20"/>
                <w:szCs w:val="20"/>
              </w:rPr>
              <w:t>分）：展示泵房三维组态、单泵实时参数、出厂流量/压力/累计电耗，以及供水时段排程、目标流量压力、泵组基础参数和扬程差相关设置。完整演示得</w:t>
            </w:r>
            <w:r>
              <w:rPr>
                <w:rFonts w:hint="eastAsia" w:ascii="Calibri" w:hAnsi="Calibri"/>
                <w:sz w:val="20"/>
                <w:szCs w:val="20"/>
                <w:lang w:val="en-US" w:eastAsia="zh-CN"/>
              </w:rPr>
              <w:t>1</w:t>
            </w:r>
            <w:r>
              <w:rPr>
                <w:rFonts w:hint="eastAsia" w:ascii="Calibri" w:hAnsi="Calibri"/>
                <w:sz w:val="20"/>
                <w:szCs w:val="20"/>
              </w:rPr>
              <w:t>分，缺少任一关键内容不得分。</w:t>
            </w:r>
          </w:p>
          <w:p w14:paraId="5EAB26BD">
            <w:pPr>
              <w:spacing w:after="40" w:line="276" w:lineRule="auto"/>
              <w:rPr>
                <w:rFonts w:ascii="Calibri" w:hAnsi="Calibri"/>
                <w:sz w:val="20"/>
                <w:szCs w:val="20"/>
              </w:rPr>
            </w:pPr>
            <w:r>
              <w:rPr>
                <w:rFonts w:hint="eastAsia" w:ascii="Calibri" w:hAnsi="Calibri"/>
                <w:sz w:val="20"/>
                <w:szCs w:val="20"/>
              </w:rPr>
              <w:t>（8）智能泵组最优运行模型—优化排程与实时指令（</w:t>
            </w:r>
            <w:r>
              <w:rPr>
                <w:rFonts w:hint="eastAsia" w:ascii="Calibri" w:hAnsi="Calibri"/>
                <w:sz w:val="20"/>
                <w:szCs w:val="20"/>
                <w:lang w:val="en-US" w:eastAsia="zh-CN"/>
              </w:rPr>
              <w:t>1</w:t>
            </w:r>
            <w:r>
              <w:rPr>
                <w:rFonts w:hint="eastAsia" w:ascii="Calibri" w:hAnsi="Calibri"/>
                <w:sz w:val="20"/>
                <w:szCs w:val="20"/>
              </w:rPr>
              <w:t>分）：展示模型推荐的泵组开闭状态、频率、泵后压力、分时段泵组方案与操作内容，并给出当前时段调泵实时指令。完整演示得</w:t>
            </w:r>
            <w:r>
              <w:rPr>
                <w:rFonts w:hint="eastAsia" w:ascii="Calibri" w:hAnsi="Calibri"/>
                <w:sz w:val="20"/>
                <w:szCs w:val="20"/>
                <w:lang w:val="en-US" w:eastAsia="zh-CN"/>
              </w:rPr>
              <w:t>1</w:t>
            </w:r>
            <w:r>
              <w:rPr>
                <w:rFonts w:hint="eastAsia" w:ascii="Calibri" w:hAnsi="Calibri"/>
                <w:sz w:val="20"/>
                <w:szCs w:val="20"/>
              </w:rPr>
              <w:t>分，缺少任一关键内容不得分。</w:t>
            </w:r>
          </w:p>
          <w:p w14:paraId="3A5EB36D">
            <w:pPr>
              <w:spacing w:line="360" w:lineRule="auto"/>
              <w:rPr>
                <w:lang w:val="zh-CN"/>
              </w:rPr>
            </w:pPr>
            <w:r>
              <w:rPr>
                <w:rFonts w:hint="eastAsia" w:ascii="Calibri" w:hAnsi="Calibri"/>
                <w:sz w:val="20"/>
                <w:szCs w:val="20"/>
              </w:rPr>
              <w:t>（9）智能泵组最优运行模型—能耗与性能（</w:t>
            </w:r>
            <w:r>
              <w:rPr>
                <w:rFonts w:hint="eastAsia" w:ascii="Calibri" w:hAnsi="Calibri"/>
                <w:sz w:val="20"/>
                <w:szCs w:val="20"/>
                <w:lang w:val="en-US" w:eastAsia="zh-CN"/>
              </w:rPr>
              <w:t>2</w:t>
            </w:r>
            <w:r>
              <w:rPr>
                <w:rFonts w:hint="eastAsia" w:ascii="Calibri" w:hAnsi="Calibri"/>
                <w:sz w:val="20"/>
                <w:szCs w:val="20"/>
              </w:rPr>
              <w:t>分）：展示推荐配水电耗与实际电耗对比、日累计电耗预测与实际值、泵组台时及单泵频率趋势；提供频率调节精度±3%以内、满足压力条件下优化精准度1%以内、需求变化后1分钟内调整的证明或实测界面。完整演示得</w:t>
            </w:r>
            <w:r>
              <w:rPr>
                <w:rFonts w:hint="eastAsia" w:ascii="Calibri" w:hAnsi="Calibri"/>
                <w:sz w:val="20"/>
                <w:szCs w:val="20"/>
                <w:lang w:val="en-US" w:eastAsia="zh-CN"/>
              </w:rPr>
              <w:t>2</w:t>
            </w:r>
            <w:r>
              <w:rPr>
                <w:rFonts w:hint="eastAsia" w:ascii="Calibri" w:hAnsi="Calibri"/>
                <w:sz w:val="20"/>
                <w:szCs w:val="20"/>
              </w:rPr>
              <w:t>分，功能展示或性能证明不完整的不得分。</w:t>
            </w:r>
          </w:p>
        </w:tc>
      </w:tr>
      <w:tr w14:paraId="52B5D666">
        <w:tblPrEx>
          <w:tblCellMar>
            <w:top w:w="0" w:type="dxa"/>
            <w:left w:w="108" w:type="dxa"/>
            <w:bottom w:w="0" w:type="dxa"/>
            <w:right w:w="108" w:type="dxa"/>
          </w:tblCellMar>
        </w:tblPrEx>
        <w:trPr>
          <w:trHeight w:val="416"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96CE7">
            <w:pPr>
              <w:widowControl/>
              <w:spacing w:line="360" w:lineRule="auto"/>
              <w:jc w:val="center"/>
              <w:rPr>
                <w:rFonts w:ascii="宋体" w:hAnsi="宋体" w:cs="宋体"/>
              </w:rPr>
            </w:pPr>
            <w:r>
              <w:rPr>
                <w:rFonts w:hint="eastAsia" w:ascii="宋体" w:hAnsi="宋体" w:cs="宋体"/>
              </w:rPr>
              <w:t>5</w:t>
            </w: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64905">
            <w:pPr>
              <w:widowControl/>
              <w:spacing w:line="360" w:lineRule="auto"/>
              <w:jc w:val="center"/>
              <w:rPr>
                <w:rFonts w:ascii="宋体" w:hAnsi="宋体" w:cs="宋体"/>
                <w:highlight w:val="none"/>
              </w:rPr>
            </w:pPr>
            <w:r>
              <w:rPr>
                <w:rFonts w:hint="eastAsia" w:ascii="宋体" w:hAnsi="宋体" w:cs="宋体"/>
                <w:highlight w:val="none"/>
              </w:rPr>
              <w:t>业绩</w:t>
            </w: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1443D">
            <w:pPr>
              <w:widowControl/>
              <w:spacing w:line="360" w:lineRule="auto"/>
              <w:jc w:val="center"/>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分</w:t>
            </w:r>
          </w:p>
        </w:tc>
        <w:tc>
          <w:tcPr>
            <w:tcW w:w="3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A1036">
            <w:pPr>
              <w:spacing w:line="360" w:lineRule="auto"/>
              <w:rPr>
                <w:highlight w:val="none"/>
              </w:rPr>
            </w:pPr>
            <w:r>
              <w:rPr>
                <w:rFonts w:hint="eastAsia"/>
                <w:highlight w:val="none"/>
              </w:rPr>
              <w:t>根据投标人自202</w:t>
            </w:r>
            <w:r>
              <w:rPr>
                <w:rFonts w:hint="eastAsia"/>
                <w:highlight w:val="none"/>
                <w:lang w:val="en-US" w:eastAsia="zh-CN"/>
              </w:rPr>
              <w:t>3</w:t>
            </w:r>
            <w:r>
              <w:rPr>
                <w:rFonts w:hint="eastAsia"/>
                <w:highlight w:val="none"/>
              </w:rPr>
              <w:t>年</w:t>
            </w:r>
            <w:r>
              <w:rPr>
                <w:rFonts w:hint="eastAsia"/>
                <w:highlight w:val="none"/>
                <w:lang w:val="en-US" w:eastAsia="zh-CN"/>
              </w:rPr>
              <w:t>6</w:t>
            </w:r>
            <w:r>
              <w:rPr>
                <w:rFonts w:hint="eastAsia"/>
                <w:highlight w:val="none"/>
              </w:rPr>
              <w:t>月1日以来 (以签订合同时间为准) 以来</w:t>
            </w:r>
            <w:r>
              <w:rPr>
                <w:rFonts w:hint="eastAsia"/>
                <w:highlight w:val="none"/>
                <w:lang w:val="en-US" w:eastAsia="zh-CN"/>
              </w:rPr>
              <w:t>类似自来水厂水处理设施自控系统改造</w:t>
            </w:r>
            <w:r>
              <w:rPr>
                <w:rFonts w:hint="eastAsia"/>
                <w:highlight w:val="none"/>
              </w:rPr>
              <w:t>项目业绩，每提供一份得</w:t>
            </w:r>
            <w:r>
              <w:rPr>
                <w:rFonts w:hint="eastAsia"/>
                <w:highlight w:val="none"/>
                <w:lang w:val="en-US" w:eastAsia="zh-CN"/>
              </w:rPr>
              <w:t>2</w:t>
            </w:r>
            <w:r>
              <w:rPr>
                <w:rFonts w:hint="eastAsia"/>
                <w:highlight w:val="none"/>
                <w:lang w:val="zh-CN"/>
              </w:rPr>
              <w:t>分，本项最高得</w:t>
            </w:r>
            <w:r>
              <w:rPr>
                <w:rFonts w:hint="eastAsia"/>
                <w:highlight w:val="none"/>
                <w:lang w:val="en-US" w:eastAsia="zh-CN"/>
              </w:rPr>
              <w:t>8</w:t>
            </w:r>
            <w:r>
              <w:rPr>
                <w:rFonts w:hint="eastAsia"/>
                <w:highlight w:val="none"/>
                <w:lang w:val="zh-CN"/>
              </w:rPr>
              <w:t>分。</w:t>
            </w:r>
          </w:p>
          <w:p w14:paraId="223BFFC2">
            <w:pPr>
              <w:spacing w:line="360" w:lineRule="auto"/>
              <w:rPr>
                <w:rFonts w:ascii="宋体" w:hAnsi="宋体" w:cs="宋体"/>
                <w:sz w:val="18"/>
                <w:szCs w:val="18"/>
                <w:highlight w:val="none"/>
              </w:rPr>
            </w:pPr>
            <w:r>
              <w:rPr>
                <w:rFonts w:hint="eastAsia"/>
                <w:highlight w:val="none"/>
                <w:lang w:val="zh-CN"/>
              </w:rPr>
              <w:t>备注：</w:t>
            </w:r>
            <w:r>
              <w:rPr>
                <w:rFonts w:hint="eastAsia"/>
                <w:highlight w:val="none"/>
              </w:rPr>
              <w:t>（提供业绩</w:t>
            </w:r>
            <w:r>
              <w:rPr>
                <w:rFonts w:hint="eastAsia"/>
                <w:highlight w:val="none"/>
                <w:lang w:val="en-US" w:eastAsia="zh-CN"/>
              </w:rPr>
              <w:t>中标通知书及</w:t>
            </w:r>
            <w:r>
              <w:rPr>
                <w:rFonts w:hint="eastAsia"/>
                <w:highlight w:val="none"/>
              </w:rPr>
              <w:t>合同原件彩色扫描件，提供不全或未提供的不得分）</w:t>
            </w:r>
          </w:p>
        </w:tc>
      </w:tr>
    </w:tbl>
    <w:p w14:paraId="79366606">
      <w:pPr>
        <w:keepNext w:val="0"/>
        <w:keepLines w:val="0"/>
        <w:pageBreakBefore w:val="0"/>
        <w:tabs>
          <w:tab w:val="left" w:pos="790"/>
          <w:tab w:val="left" w:pos="1422"/>
          <w:tab w:val="left" w:pos="1738"/>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p>
    <w:p w14:paraId="44B4D87A">
      <w:pPr>
        <w:keepNext w:val="0"/>
        <w:keepLines w:val="0"/>
        <w:pageBreakBefore w:val="0"/>
        <w:tabs>
          <w:tab w:val="left" w:pos="790"/>
          <w:tab w:val="left" w:pos="1422"/>
          <w:tab w:val="left" w:pos="1738"/>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14:paraId="67A318B2">
      <w:pPr>
        <w:keepNext w:val="0"/>
        <w:keepLines w:val="0"/>
        <w:pageBreakBefore w:val="0"/>
        <w:tabs>
          <w:tab w:val="left" w:pos="790"/>
          <w:tab w:val="left" w:pos="1422"/>
          <w:tab w:val="left" w:pos="1738"/>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（1）评审时打分保留小数点后两位数，评分分值计算保留小数点后两位，小数点后第三位“四舍五入”，取所有评委评分的平均值作为投标人得分。评委会根据</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所提供的</w:t>
      </w:r>
      <w:r>
        <w:rPr>
          <w:rFonts w:hint="eastAsia" w:ascii="宋体" w:hAnsi="宋体" w:cs="宋体"/>
          <w:color w:val="auto"/>
          <w:sz w:val="24"/>
          <w:szCs w:val="24"/>
          <w:highlight w:val="none"/>
          <w:lang w:val="en-US" w:eastAsia="zh-CN"/>
        </w:rPr>
        <w:t>技术</w:t>
      </w:r>
      <w:r>
        <w:rPr>
          <w:rFonts w:hint="eastAsia" w:ascii="宋体" w:hAnsi="宋体" w:cs="宋体"/>
          <w:color w:val="auto"/>
          <w:sz w:val="24"/>
          <w:szCs w:val="24"/>
          <w:highlight w:val="none"/>
        </w:rPr>
        <w:t>服务方案进行评审，从方案的合理性、完整齐全性等方面进行评分，方案除缺少相应内容的评审要点不得分外，其它各项评审要点得分不应低于该评审要点满分的70%，否则请评委说明理由。</w:t>
      </w:r>
    </w:p>
    <w:p w14:paraId="43817267">
      <w:pPr>
        <w:keepNext w:val="0"/>
        <w:keepLines w:val="0"/>
        <w:pageBreakBefore w:val="0"/>
        <w:tabs>
          <w:tab w:val="left" w:pos="790"/>
          <w:tab w:val="left" w:pos="1422"/>
          <w:tab w:val="left" w:pos="1738"/>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 如提供虚假材料，作无效标处理，另按相关法规予以处罚。</w:t>
      </w:r>
    </w:p>
    <w:p w14:paraId="52E5FC5C">
      <w:pPr>
        <w:keepNext w:val="0"/>
        <w:keepLines w:val="0"/>
        <w:pageBreakBefore w:val="0"/>
        <w:tabs>
          <w:tab w:val="left" w:pos="790"/>
          <w:tab w:val="left" w:pos="1422"/>
          <w:tab w:val="left" w:pos="1738"/>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 如招标内容中对部分技术参数要求不详细，请各投标人在投标时详细补充说明。</w:t>
      </w:r>
    </w:p>
    <w:p w14:paraId="626A6FB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（4）评分标准中须提供的资料，按评分标准顺序装订并编制目录。</w:t>
      </w:r>
    </w:p>
    <w:p w14:paraId="4B5FF61D">
      <w:pPr>
        <w:keepNext w:val="0"/>
        <w:keepLines w:val="0"/>
        <w:pageBreakBefore w:val="0"/>
        <w:tabs>
          <w:tab w:val="left" w:pos="790"/>
          <w:tab w:val="left" w:pos="1422"/>
          <w:tab w:val="left" w:pos="1738"/>
        </w:tabs>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.评标报告</w:t>
      </w:r>
      <w:bookmarkEnd w:id="95"/>
    </w:p>
    <w:p w14:paraId="63ABC44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评标委员会根据全体评标成员签字的原始评标记录和评标结果编写评标报告。评标报告应当包括以下内容：</w:t>
      </w:r>
    </w:p>
    <w:p w14:paraId="3D25BF4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9</w:t>
      </w:r>
      <w:r>
        <w:rPr>
          <w:rFonts w:hint="eastAsia"/>
          <w:color w:val="auto"/>
          <w:sz w:val="24"/>
          <w:szCs w:val="24"/>
          <w:highlight w:val="none"/>
        </w:rPr>
        <w:t>.1  招标公告刊登的媒体名称、开标日期和地点；</w:t>
      </w:r>
    </w:p>
    <w:p w14:paraId="5AFEB5B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9</w:t>
      </w:r>
      <w:r>
        <w:rPr>
          <w:rFonts w:hint="eastAsia"/>
          <w:color w:val="auto"/>
          <w:sz w:val="24"/>
          <w:szCs w:val="24"/>
          <w:highlight w:val="none"/>
        </w:rPr>
        <w:t>.2  投标人名单和评标委员会成员名单；</w:t>
      </w:r>
    </w:p>
    <w:p w14:paraId="7F913503">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9</w:t>
      </w:r>
      <w:r>
        <w:rPr>
          <w:rFonts w:hint="eastAsia"/>
          <w:color w:val="auto"/>
          <w:sz w:val="24"/>
          <w:szCs w:val="24"/>
          <w:highlight w:val="none"/>
        </w:rPr>
        <w:t>.3  评标方法和标准；</w:t>
      </w:r>
    </w:p>
    <w:p w14:paraId="596D9DAD">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9</w:t>
      </w:r>
      <w:r>
        <w:rPr>
          <w:rFonts w:hint="eastAsia"/>
          <w:color w:val="auto"/>
          <w:sz w:val="24"/>
          <w:szCs w:val="24"/>
          <w:highlight w:val="none"/>
        </w:rPr>
        <w:t>.4  开标记录和评标情况及说明，包括无效投标人名单及原因；</w:t>
      </w:r>
    </w:p>
    <w:p w14:paraId="088E26E5">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9</w:t>
      </w:r>
      <w:r>
        <w:rPr>
          <w:rFonts w:hint="eastAsia"/>
          <w:color w:val="auto"/>
          <w:sz w:val="24"/>
          <w:szCs w:val="24"/>
          <w:highlight w:val="none"/>
        </w:rPr>
        <w:t>.5  评标结果，确定的中标候选人名单或者经采购人委托直接确定的中标人；</w:t>
      </w:r>
    </w:p>
    <w:p w14:paraId="1DA16DEA">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9</w:t>
      </w:r>
      <w:r>
        <w:rPr>
          <w:rFonts w:hint="eastAsia"/>
          <w:color w:val="auto"/>
          <w:sz w:val="24"/>
          <w:szCs w:val="24"/>
          <w:highlight w:val="none"/>
        </w:rPr>
        <w:t>.6  其他需要说明的情况，包括评标过程中投标人根据评标委员会要求进行的澄清、说明或者补正，评标委员会成员的更换等。</w:t>
      </w:r>
    </w:p>
    <w:p w14:paraId="5744F66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sz w:val="24"/>
          <w:szCs w:val="24"/>
          <w:highlight w:val="none"/>
        </w:rPr>
      </w:pPr>
      <w:bookmarkStart w:id="99" w:name="_Toc24076"/>
      <w:r>
        <w:rPr>
          <w:rFonts w:hint="eastAsia"/>
          <w:b/>
          <w:bCs/>
          <w:color w:val="auto"/>
          <w:sz w:val="24"/>
          <w:szCs w:val="24"/>
          <w:highlight w:val="none"/>
          <w:lang w:val="en-US" w:eastAsia="zh-CN"/>
        </w:rPr>
        <w:t>30</w:t>
      </w:r>
      <w:r>
        <w:rPr>
          <w:rFonts w:hint="eastAsia"/>
          <w:b/>
          <w:bCs/>
          <w:color w:val="auto"/>
          <w:sz w:val="24"/>
          <w:szCs w:val="24"/>
          <w:highlight w:val="none"/>
        </w:rPr>
        <w:t>.评标争议的处理</w:t>
      </w:r>
      <w:bookmarkEnd w:id="99"/>
    </w:p>
    <w:p w14:paraId="3F85E1A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68805CF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sz w:val="24"/>
          <w:szCs w:val="24"/>
          <w:highlight w:val="none"/>
        </w:rPr>
      </w:pPr>
      <w:bookmarkStart w:id="100" w:name="_Toc30046"/>
      <w:r>
        <w:rPr>
          <w:rFonts w:hint="eastAsia"/>
          <w:b/>
          <w:bCs/>
          <w:color w:val="auto"/>
          <w:sz w:val="24"/>
          <w:szCs w:val="24"/>
          <w:highlight w:val="none"/>
        </w:rPr>
        <w:t>3</w:t>
      </w:r>
      <w:r>
        <w:rPr>
          <w:rFonts w:hint="eastAsia"/>
          <w:b/>
          <w:bCs/>
          <w:color w:val="auto"/>
          <w:sz w:val="24"/>
          <w:szCs w:val="24"/>
          <w:highlight w:val="none"/>
          <w:lang w:val="en-US" w:eastAsia="zh-CN"/>
        </w:rPr>
        <w:t>1</w:t>
      </w:r>
      <w:r>
        <w:rPr>
          <w:rFonts w:hint="eastAsia"/>
          <w:b/>
          <w:bCs/>
          <w:color w:val="auto"/>
          <w:sz w:val="24"/>
          <w:szCs w:val="24"/>
          <w:highlight w:val="none"/>
        </w:rPr>
        <w:t>.评标纪律</w:t>
      </w:r>
      <w:bookmarkEnd w:id="100"/>
    </w:p>
    <w:p w14:paraId="774C633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1</w:t>
      </w:r>
      <w:r>
        <w:rPr>
          <w:rFonts w:hint="eastAsia"/>
          <w:color w:val="auto"/>
          <w:sz w:val="24"/>
          <w:szCs w:val="24"/>
          <w:highlight w:val="none"/>
        </w:rPr>
        <w:t>.1  评标委员会及其成员不得有下列行为：</w:t>
      </w:r>
    </w:p>
    <w:p w14:paraId="4E76A1B7">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（1）确定参与评标至评标结束前私自接触投标人；</w:t>
      </w:r>
    </w:p>
    <w:p w14:paraId="0CF085F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（2）接受投标人提出的不符合规定要求的澄清或者说明；</w:t>
      </w:r>
    </w:p>
    <w:p w14:paraId="69F1219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（3）违反评标纪律发表倾向性意见或者征询采购人（采购代理机构）的倾向性意见；</w:t>
      </w:r>
    </w:p>
    <w:p w14:paraId="1ACBBDD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（4）对需要专业判断的主观评审因素协商评分；</w:t>
      </w:r>
    </w:p>
    <w:p w14:paraId="0539C0C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（5）在评标过程中擅离职守，影响评标程序正常进行的；</w:t>
      </w:r>
    </w:p>
    <w:p w14:paraId="7C76558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（6）记录、复制或者带走任何评标资料；</w:t>
      </w:r>
    </w:p>
    <w:p w14:paraId="36C906C3">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（7）其他不遵守评标纪律的行为。</w:t>
      </w:r>
    </w:p>
    <w:p w14:paraId="25C695F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评标委员会成员有前款第一至五项行为之一的，其评审意见无效。</w:t>
      </w:r>
    </w:p>
    <w:p w14:paraId="3B9D9F48">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1</w:t>
      </w:r>
      <w:r>
        <w:rPr>
          <w:rFonts w:hint="eastAsia"/>
          <w:color w:val="auto"/>
          <w:sz w:val="24"/>
          <w:szCs w:val="24"/>
          <w:highlight w:val="none"/>
        </w:rPr>
        <w:t>.2  除采购人代表、评标现场组织人员外，采购人的其他工作人员以及与评标工作无关的人员不得进入评标现场。</w:t>
      </w:r>
    </w:p>
    <w:p w14:paraId="3763ABE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1</w:t>
      </w:r>
      <w:r>
        <w:rPr>
          <w:rFonts w:hint="eastAsia"/>
          <w:color w:val="auto"/>
          <w:sz w:val="24"/>
          <w:szCs w:val="24"/>
          <w:highlight w:val="none"/>
        </w:rPr>
        <w:t>.3  有关人员对评标情况以及在评标过程中获悉的国家秘密、商业秘密负有保密责任。</w:t>
      </w:r>
    </w:p>
    <w:p w14:paraId="0C85C6A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sz w:val="24"/>
          <w:szCs w:val="24"/>
          <w:highlight w:val="none"/>
        </w:rPr>
      </w:pPr>
      <w:bookmarkStart w:id="101" w:name="_Toc4807"/>
      <w:r>
        <w:rPr>
          <w:rFonts w:hint="eastAsia"/>
          <w:b/>
          <w:bCs/>
          <w:color w:val="auto"/>
          <w:sz w:val="24"/>
          <w:szCs w:val="24"/>
          <w:highlight w:val="none"/>
        </w:rPr>
        <w:t>3</w:t>
      </w:r>
      <w:r>
        <w:rPr>
          <w:rFonts w:hint="eastAsia"/>
          <w:b/>
          <w:bCs/>
          <w:color w:val="auto"/>
          <w:sz w:val="24"/>
          <w:szCs w:val="24"/>
          <w:highlight w:val="none"/>
          <w:lang w:val="en-US" w:eastAsia="zh-CN"/>
        </w:rPr>
        <w:t>2</w:t>
      </w:r>
      <w:r>
        <w:rPr>
          <w:rFonts w:hint="eastAsia"/>
          <w:b/>
          <w:bCs/>
          <w:color w:val="auto"/>
          <w:sz w:val="24"/>
          <w:szCs w:val="24"/>
          <w:highlight w:val="none"/>
        </w:rPr>
        <w:t>.评标结果修改</w:t>
      </w:r>
      <w:bookmarkEnd w:id="101"/>
    </w:p>
    <w:p w14:paraId="02753BE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评标结果汇总完成后，除下列情形外，任何人不得修改评标结果：</w:t>
      </w:r>
    </w:p>
    <w:p w14:paraId="46F2897A">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2</w:t>
      </w:r>
      <w:r>
        <w:rPr>
          <w:rFonts w:hint="eastAsia"/>
          <w:color w:val="auto"/>
          <w:sz w:val="24"/>
          <w:szCs w:val="24"/>
          <w:highlight w:val="none"/>
        </w:rPr>
        <w:t>.1  分值汇总计算错误的；</w:t>
      </w:r>
    </w:p>
    <w:p w14:paraId="1E5D276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2</w:t>
      </w:r>
      <w:r>
        <w:rPr>
          <w:rFonts w:hint="eastAsia"/>
          <w:color w:val="auto"/>
          <w:sz w:val="24"/>
          <w:szCs w:val="24"/>
          <w:highlight w:val="none"/>
        </w:rPr>
        <w:t>.2  分项评分超出评分标准范围的；</w:t>
      </w:r>
    </w:p>
    <w:p w14:paraId="3B4DA68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2</w:t>
      </w:r>
      <w:r>
        <w:rPr>
          <w:rFonts w:hint="eastAsia"/>
          <w:color w:val="auto"/>
          <w:sz w:val="24"/>
          <w:szCs w:val="24"/>
          <w:highlight w:val="none"/>
        </w:rPr>
        <w:t>.3  评标委员会成员对客观评审因素评分不一致的；</w:t>
      </w:r>
    </w:p>
    <w:p w14:paraId="374CE8C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2</w:t>
      </w:r>
      <w:r>
        <w:rPr>
          <w:rFonts w:hint="eastAsia"/>
          <w:color w:val="auto"/>
          <w:sz w:val="24"/>
          <w:szCs w:val="24"/>
          <w:highlight w:val="none"/>
        </w:rPr>
        <w:t>.4  经评标委员会认定评分畸高、畸低的。</w:t>
      </w:r>
    </w:p>
    <w:p w14:paraId="3E56565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监督部门。</w:t>
      </w:r>
    </w:p>
    <w:p w14:paraId="07AD6A5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投标人对本条第一款情形提出质疑的，采购人或者采购代理机构可以组织原评标委员会进行重新评审，重新评审改变评标结果的，应当书面报告监督部门。</w:t>
      </w:r>
    </w:p>
    <w:p w14:paraId="19DE9BF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sz w:val="24"/>
          <w:szCs w:val="24"/>
          <w:highlight w:val="none"/>
        </w:rPr>
      </w:pPr>
      <w:bookmarkStart w:id="102" w:name="_Toc28956"/>
      <w:r>
        <w:rPr>
          <w:rFonts w:hint="eastAsia"/>
          <w:b/>
          <w:bCs/>
          <w:color w:val="auto"/>
          <w:sz w:val="24"/>
          <w:szCs w:val="24"/>
          <w:highlight w:val="none"/>
        </w:rPr>
        <w:t>3</w:t>
      </w:r>
      <w:r>
        <w:rPr>
          <w:rFonts w:hint="eastAsia"/>
          <w:b/>
          <w:bCs/>
          <w:color w:val="auto"/>
          <w:sz w:val="24"/>
          <w:szCs w:val="24"/>
          <w:highlight w:val="none"/>
          <w:lang w:val="en-US" w:eastAsia="zh-CN"/>
        </w:rPr>
        <w:t>3</w:t>
      </w:r>
      <w:r>
        <w:rPr>
          <w:rFonts w:hint="eastAsia"/>
          <w:b/>
          <w:bCs/>
          <w:color w:val="auto"/>
          <w:sz w:val="24"/>
          <w:szCs w:val="24"/>
          <w:highlight w:val="none"/>
        </w:rPr>
        <w:t>.停止评标和重新招标</w:t>
      </w:r>
      <w:bookmarkEnd w:id="102"/>
    </w:p>
    <w:p w14:paraId="21777F9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2"/>
        <w:rPr>
          <w:rFonts w:hint="eastAsia"/>
          <w:color w:val="auto"/>
          <w:sz w:val="24"/>
          <w:szCs w:val="24"/>
          <w:highlight w:val="none"/>
        </w:rPr>
      </w:pPr>
      <w:r>
        <w:rPr>
          <w:rFonts w:hint="eastAsia"/>
          <w:color w:val="auto"/>
          <w:sz w:val="24"/>
          <w:szCs w:val="24"/>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Start w:id="103" w:name="_Toc20576"/>
    </w:p>
    <w:p w14:paraId="245A0A84">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sz w:val="24"/>
          <w:szCs w:val="24"/>
          <w:highlight w:val="none"/>
        </w:rPr>
      </w:pPr>
      <w:r>
        <w:rPr>
          <w:rFonts w:hint="eastAsia"/>
          <w:b/>
          <w:bCs/>
          <w:color w:val="auto"/>
          <w:sz w:val="24"/>
          <w:szCs w:val="24"/>
          <w:highlight w:val="none"/>
        </w:rPr>
        <w:t>3</w:t>
      </w:r>
      <w:r>
        <w:rPr>
          <w:rFonts w:hint="eastAsia"/>
          <w:b/>
          <w:bCs/>
          <w:color w:val="auto"/>
          <w:sz w:val="24"/>
          <w:szCs w:val="24"/>
          <w:highlight w:val="none"/>
          <w:lang w:val="en-US" w:eastAsia="zh-CN"/>
        </w:rPr>
        <w:t>4</w:t>
      </w:r>
      <w:r>
        <w:rPr>
          <w:rFonts w:hint="eastAsia"/>
          <w:b/>
          <w:bCs/>
          <w:color w:val="auto"/>
          <w:sz w:val="24"/>
          <w:szCs w:val="24"/>
          <w:highlight w:val="none"/>
        </w:rPr>
        <w:t>.重新评标</w:t>
      </w:r>
      <w:bookmarkEnd w:id="103"/>
    </w:p>
    <w:p w14:paraId="137675A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评标委员会或者其成员存在下列情形导致评标结果无效的，采购人或者采购代理机构可以重新组建评标委员会进行评标，并书面报告监督部门，但采购合同已经履行的除外：</w:t>
      </w:r>
    </w:p>
    <w:p w14:paraId="7A05882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4</w:t>
      </w:r>
      <w:r>
        <w:rPr>
          <w:rFonts w:hint="eastAsia"/>
          <w:color w:val="auto"/>
          <w:sz w:val="24"/>
          <w:szCs w:val="24"/>
          <w:highlight w:val="none"/>
        </w:rPr>
        <w:t>.1  评标委员会组成不符合本办法规定的；</w:t>
      </w:r>
    </w:p>
    <w:p w14:paraId="0A6DC9C3">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4</w:t>
      </w:r>
      <w:r>
        <w:rPr>
          <w:rFonts w:hint="eastAsia"/>
          <w:color w:val="auto"/>
          <w:sz w:val="24"/>
          <w:szCs w:val="24"/>
          <w:highlight w:val="none"/>
        </w:rPr>
        <w:t>.2  有《中华人民共和国财政部令第87号》第六十二条第一至五项情形的；</w:t>
      </w:r>
    </w:p>
    <w:p w14:paraId="11D532A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4</w:t>
      </w:r>
      <w:r>
        <w:rPr>
          <w:rFonts w:hint="eastAsia"/>
          <w:color w:val="auto"/>
          <w:sz w:val="24"/>
          <w:szCs w:val="24"/>
          <w:highlight w:val="none"/>
        </w:rPr>
        <w:t>.3  评标委员会及其成员独立评标受到非法干预的；</w:t>
      </w:r>
    </w:p>
    <w:p w14:paraId="4107480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4</w:t>
      </w:r>
      <w:r>
        <w:rPr>
          <w:rFonts w:hint="eastAsia"/>
          <w:color w:val="auto"/>
          <w:sz w:val="24"/>
          <w:szCs w:val="24"/>
          <w:highlight w:val="none"/>
        </w:rPr>
        <w:t>.4  有政府采购法实施条例第七十五条规定的违法行为的。</w:t>
      </w:r>
    </w:p>
    <w:p w14:paraId="67D6259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4</w:t>
      </w:r>
      <w:r>
        <w:rPr>
          <w:rFonts w:hint="eastAsia"/>
          <w:color w:val="auto"/>
          <w:sz w:val="24"/>
          <w:szCs w:val="24"/>
          <w:highlight w:val="none"/>
        </w:rPr>
        <w:t>.5  有违法违规行为的原评标委员会成员不得参加重新组建的评标委员会。</w:t>
      </w:r>
    </w:p>
    <w:p w14:paraId="125B3014">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szCs w:val="24"/>
          <w:highlight w:val="none"/>
        </w:rPr>
      </w:pPr>
      <w:bookmarkStart w:id="104" w:name="_Toc10745"/>
      <w:r>
        <w:rPr>
          <w:rFonts w:hint="eastAsia" w:ascii="宋体" w:hAnsi="宋体" w:cs="宋体"/>
          <w:b/>
          <w:bCs/>
          <w:color w:val="auto"/>
          <w:sz w:val="24"/>
          <w:szCs w:val="24"/>
          <w:highlight w:val="none"/>
        </w:rPr>
        <w:t>3</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.投标纪律</w:t>
      </w:r>
      <w:bookmarkEnd w:id="104"/>
    </w:p>
    <w:p w14:paraId="34C179E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bCs/>
          <w:color w:val="auto"/>
          <w:sz w:val="24"/>
          <w:szCs w:val="24"/>
          <w:highlight w:val="none"/>
        </w:rPr>
      </w:pPr>
      <w:r>
        <w:rPr>
          <w:rFonts w:hint="eastAsia" w:ascii="宋体" w:hAnsi="宋体" w:cs="宋体"/>
          <w:color w:val="auto"/>
          <w:sz w:val="24"/>
          <w:szCs w:val="24"/>
          <w:highlight w:val="none"/>
        </w:rPr>
        <w:t>投标人应遵守招标投标活动相关规定，在评标期间，投标人试图影响采购人或采购代理机构和评标委员会的任何活动，将导致其投标被拒绝，并承担相应的法律责任。</w:t>
      </w:r>
      <w:bookmarkStart w:id="105" w:name="_Toc15228"/>
      <w:bookmarkStart w:id="106" w:name="_Toc30328"/>
      <w:bookmarkStart w:id="107" w:name="_Toc1890"/>
      <w:bookmarkStart w:id="108" w:name="_Toc24850"/>
    </w:p>
    <w:p w14:paraId="42BF2489">
      <w:pPr>
        <w:keepNext w:val="0"/>
        <w:keepLines w:val="0"/>
        <w:pageBreakBefore w:val="0"/>
        <w:kinsoku/>
        <w:wordWrap/>
        <w:overflowPunct/>
        <w:topLinePunct w:val="0"/>
        <w:autoSpaceDE/>
        <w:autoSpaceDN/>
        <w:bidi w:val="0"/>
        <w:spacing w:line="440" w:lineRule="exact"/>
        <w:jc w:val="center"/>
        <w:textAlignment w:val="auto"/>
        <w:outlineLvl w:val="1"/>
        <w:rPr>
          <w:rFonts w:hint="eastAsia" w:ascii="宋体" w:hAnsi="宋体" w:cs="宋体"/>
          <w:b/>
          <w:bCs/>
          <w:color w:val="auto"/>
          <w:sz w:val="30"/>
          <w:szCs w:val="30"/>
          <w:highlight w:val="none"/>
        </w:rPr>
      </w:pPr>
      <w:bookmarkStart w:id="109" w:name="_Toc31898"/>
      <w:r>
        <w:rPr>
          <w:rFonts w:hint="eastAsia" w:ascii="宋体" w:hAnsi="宋体" w:cs="宋体"/>
          <w:b/>
          <w:bCs/>
          <w:color w:val="auto"/>
          <w:sz w:val="30"/>
          <w:szCs w:val="30"/>
          <w:highlight w:val="none"/>
        </w:rPr>
        <w:t>八、中标和合同</w:t>
      </w:r>
      <w:bookmarkEnd w:id="105"/>
      <w:bookmarkEnd w:id="106"/>
      <w:bookmarkEnd w:id="107"/>
      <w:bookmarkEnd w:id="108"/>
      <w:bookmarkEnd w:id="109"/>
    </w:p>
    <w:p w14:paraId="63414B80">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110" w:name="_Toc16937"/>
      <w:r>
        <w:rPr>
          <w:rFonts w:hint="eastAsia" w:ascii="宋体" w:hAnsi="宋体" w:cs="宋体"/>
          <w:b/>
          <w:bCs/>
          <w:color w:val="auto"/>
          <w:sz w:val="24"/>
          <w:highlight w:val="none"/>
        </w:rPr>
        <w:t>3</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.公告中标结果</w:t>
      </w:r>
      <w:bookmarkEnd w:id="110"/>
    </w:p>
    <w:p w14:paraId="415DB94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3</w:t>
      </w:r>
      <w:r>
        <w:rPr>
          <w:rFonts w:hint="eastAsia"/>
          <w:color w:val="auto"/>
          <w:highlight w:val="none"/>
          <w:lang w:val="en-US" w:eastAsia="zh-CN"/>
        </w:rPr>
        <w:t>6</w:t>
      </w:r>
      <w:r>
        <w:rPr>
          <w:rFonts w:hint="eastAsia"/>
          <w:color w:val="auto"/>
          <w:highlight w:val="none"/>
        </w:rPr>
        <w:t>.1  采购人或者采购代理机构应当自中标人确定之日起2个工作日内，在“响水县人民政府网-招投标信息-国企采购-中标公告栏”公告中标结果。</w:t>
      </w:r>
    </w:p>
    <w:p w14:paraId="27F4948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3</w:t>
      </w:r>
      <w:r>
        <w:rPr>
          <w:rFonts w:hint="eastAsia"/>
          <w:color w:val="auto"/>
          <w:highlight w:val="none"/>
          <w:lang w:val="en-US" w:eastAsia="zh-CN"/>
        </w:rPr>
        <w:t>6</w:t>
      </w:r>
      <w:r>
        <w:rPr>
          <w:rFonts w:hint="eastAsia"/>
          <w:color w:val="auto"/>
          <w:highlight w:val="none"/>
        </w:rPr>
        <w:t>.2  中标公告期限为1个工作日。</w:t>
      </w:r>
    </w:p>
    <w:p w14:paraId="47D3C54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3</w:t>
      </w:r>
      <w:r>
        <w:rPr>
          <w:rFonts w:hint="eastAsia"/>
          <w:color w:val="auto"/>
          <w:highlight w:val="none"/>
          <w:lang w:val="en-US" w:eastAsia="zh-CN"/>
        </w:rPr>
        <w:t>6</w:t>
      </w:r>
      <w:r>
        <w:rPr>
          <w:rFonts w:hint="eastAsia"/>
          <w:color w:val="auto"/>
          <w:highlight w:val="none"/>
        </w:rPr>
        <w:t>.3  若有充分证据证明，中标人出现下列情况之一的，一经查实，将被取消中标资格：</w:t>
      </w:r>
    </w:p>
    <w:p w14:paraId="2AC41D9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（1）提供虚假材料谋取成交的；</w:t>
      </w:r>
    </w:p>
    <w:p w14:paraId="4A19747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（2）与评审专家、采购人、其他投标人或者代理机构工作人员恶意串通的；</w:t>
      </w:r>
    </w:p>
    <w:p w14:paraId="5B0A0BA8">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（3）向评审专家、采购人或代理机构工作人员行贿或者提供其他不正当利益的；</w:t>
      </w:r>
    </w:p>
    <w:p w14:paraId="14F68E5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（4）恶意竞争，报价明显低于其自身合理成本且又无法提供证明的；</w:t>
      </w:r>
    </w:p>
    <w:p w14:paraId="4F164FF1">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（5）中标后无正当理由拒不与采购人签订采购合同或者未按照招标文件确定的事项签订采购合同；</w:t>
      </w:r>
    </w:p>
    <w:p w14:paraId="4007D0CC">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（6）将采购合同转包；</w:t>
      </w:r>
    </w:p>
    <w:p w14:paraId="4CCEC9C8">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2"/>
        <w:rPr>
          <w:rFonts w:hint="eastAsia"/>
          <w:color w:val="auto"/>
          <w:highlight w:val="none"/>
        </w:rPr>
      </w:pPr>
      <w:r>
        <w:rPr>
          <w:rFonts w:hint="eastAsia"/>
          <w:color w:val="auto"/>
          <w:highlight w:val="none"/>
        </w:rPr>
        <w:t>（7）法律、法规、规章规定的属于成交无效的其他情形。</w:t>
      </w:r>
      <w:bookmarkStart w:id="111" w:name="_Toc12962"/>
    </w:p>
    <w:p w14:paraId="111BE4B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2"/>
        <w:rPr>
          <w:rFonts w:hint="eastAsia"/>
          <w:color w:val="auto"/>
          <w:highlight w:val="none"/>
        </w:rPr>
      </w:pPr>
      <w:r>
        <w:rPr>
          <w:rFonts w:hint="eastAsia"/>
          <w:color w:val="auto"/>
          <w:highlight w:val="none"/>
        </w:rPr>
        <w:t>36.4 公示排名第一的中标候选人（或者评标委员会依据采购人的授权直接确定的中标人）放弃中标，或因不可抗力提出不能履行合同，或者被查实存在影响中标结果的违法行为等情形，不符合中标条件的，本项目直接重新招标，不得确定其他投标人为中标人。</w:t>
      </w:r>
    </w:p>
    <w:p w14:paraId="234B7147">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2"/>
        <w:rPr>
          <w:rFonts w:hint="eastAsia"/>
          <w:color w:val="auto"/>
          <w:highlight w:val="none"/>
        </w:rPr>
      </w:pPr>
      <w:r>
        <w:rPr>
          <w:rFonts w:hint="eastAsia"/>
          <w:color w:val="auto"/>
          <w:highlight w:val="none"/>
        </w:rPr>
        <w:t>除上述情形外，其他因存在评委评审或计算错误，导致第一中标候选人排名发生变化的，经复议确认后可重新公示中标候选人。（评标办法中约定不得调整的有关数值除外）</w:t>
      </w:r>
    </w:p>
    <w:p w14:paraId="42D60CE6">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2"/>
        <w:rPr>
          <w:rFonts w:hint="eastAsia"/>
          <w:color w:val="auto"/>
          <w:highlight w:val="none"/>
        </w:rPr>
      </w:pPr>
      <w:r>
        <w:rPr>
          <w:rFonts w:hint="eastAsia"/>
          <w:color w:val="auto"/>
          <w:highlight w:val="none"/>
        </w:rPr>
        <w:t>投标人存在串通投标、以他人名义投标、弄虚作假等违法违规行为，或者无正当理由放弃投标、中标资格，造成项目招标失败的，不得参加该项目重新招标的投标。</w:t>
      </w:r>
    </w:p>
    <w:p w14:paraId="1EB6BB23">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highlight w:val="none"/>
        </w:rPr>
      </w:pPr>
      <w:r>
        <w:rPr>
          <w:rFonts w:hint="eastAsia"/>
          <w:b/>
          <w:bCs/>
          <w:color w:val="auto"/>
          <w:highlight w:val="none"/>
        </w:rPr>
        <w:t>3</w:t>
      </w:r>
      <w:r>
        <w:rPr>
          <w:rFonts w:hint="eastAsia"/>
          <w:b/>
          <w:bCs/>
          <w:color w:val="auto"/>
          <w:highlight w:val="none"/>
          <w:lang w:val="en-US" w:eastAsia="zh-CN"/>
        </w:rPr>
        <w:t>7</w:t>
      </w:r>
      <w:r>
        <w:rPr>
          <w:rFonts w:hint="eastAsia"/>
          <w:b/>
          <w:bCs/>
          <w:color w:val="auto"/>
          <w:highlight w:val="none"/>
        </w:rPr>
        <w:t>.中标通知书</w:t>
      </w:r>
      <w:bookmarkEnd w:id="111"/>
    </w:p>
    <w:p w14:paraId="49AEF3B3">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公告中标结果结束无质疑（投诉）或者对质疑（投诉）事项处理结束中标人确定后，采购人或者采购代理机构应当向中标人发出中标通知书；</w:t>
      </w:r>
    </w:p>
    <w:p w14:paraId="40D8BEB0">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highlight w:val="none"/>
          <w:lang w:eastAsia="zh-CN"/>
        </w:rPr>
      </w:pPr>
      <w:r>
        <w:rPr>
          <w:rFonts w:hint="eastAsia"/>
          <w:b/>
          <w:bCs/>
          <w:color w:val="auto"/>
          <w:highlight w:val="none"/>
          <w:lang w:eastAsia="zh-CN"/>
        </w:rPr>
        <w:t>3</w:t>
      </w:r>
      <w:r>
        <w:rPr>
          <w:rFonts w:hint="eastAsia"/>
          <w:b/>
          <w:bCs/>
          <w:color w:val="auto"/>
          <w:highlight w:val="none"/>
          <w:lang w:val="en-US" w:eastAsia="zh-CN"/>
        </w:rPr>
        <w:t>8</w:t>
      </w:r>
      <w:r>
        <w:rPr>
          <w:rFonts w:hint="eastAsia"/>
          <w:b/>
          <w:bCs/>
          <w:color w:val="auto"/>
          <w:highlight w:val="none"/>
          <w:lang w:eastAsia="zh-CN"/>
        </w:rPr>
        <w:t>.履约保证金</w:t>
      </w:r>
    </w:p>
    <w:p w14:paraId="238135DB">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w:t>
      </w:r>
      <w:r>
        <w:rPr>
          <w:rFonts w:hint="eastAsia" w:cs="宋体"/>
          <w:color w:val="auto"/>
          <w:highlight w:val="none"/>
          <w:lang w:val="en-US" w:eastAsia="zh-CN"/>
        </w:rPr>
        <w:t>8</w:t>
      </w:r>
      <w:r>
        <w:rPr>
          <w:rFonts w:hint="eastAsia" w:ascii="宋体" w:hAnsi="宋体" w:eastAsia="宋体" w:cs="宋体"/>
          <w:color w:val="auto"/>
          <w:highlight w:val="none"/>
          <w:lang w:eastAsia="zh-CN"/>
        </w:rPr>
        <w:t>.1  在签订合同前，中标人应从投标人本单位的基本账户按第一章“招标公告”规定的金额、履约担保形式向招标人指定账户提交履约保证金。</w:t>
      </w:r>
    </w:p>
    <w:p w14:paraId="0479E18A">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w:t>
      </w:r>
      <w:r>
        <w:rPr>
          <w:rFonts w:hint="eastAsia" w:cs="宋体"/>
          <w:color w:val="auto"/>
          <w:highlight w:val="none"/>
          <w:lang w:val="en-US" w:eastAsia="zh-CN"/>
        </w:rPr>
        <w:t>8</w:t>
      </w:r>
      <w:r>
        <w:rPr>
          <w:rFonts w:hint="eastAsia" w:ascii="宋体" w:hAnsi="宋体" w:eastAsia="宋体" w:cs="宋体"/>
          <w:color w:val="auto"/>
          <w:highlight w:val="none"/>
          <w:lang w:eastAsia="zh-CN"/>
        </w:rPr>
        <w:t>.2  中标人不能按本章第37.1项要求提交履约担保的，视为放弃中标，给招标人造成的损失中标人应当予以赔偿。</w:t>
      </w:r>
    </w:p>
    <w:p w14:paraId="13D5214A">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outlineLvl w:val="2"/>
        <w:rPr>
          <w:rFonts w:hint="eastAsia"/>
          <w:b/>
          <w:bCs/>
          <w:color w:val="auto"/>
          <w:highlight w:val="none"/>
        </w:rPr>
      </w:pPr>
      <w:bookmarkStart w:id="112" w:name="_Toc31528"/>
      <w:r>
        <w:rPr>
          <w:rFonts w:hint="eastAsia"/>
          <w:b/>
          <w:bCs/>
          <w:color w:val="auto"/>
          <w:highlight w:val="none"/>
        </w:rPr>
        <w:t>3</w:t>
      </w:r>
      <w:r>
        <w:rPr>
          <w:rFonts w:hint="eastAsia"/>
          <w:b/>
          <w:bCs/>
          <w:color w:val="auto"/>
          <w:highlight w:val="none"/>
          <w:lang w:val="en-US" w:eastAsia="zh-CN"/>
        </w:rPr>
        <w:t>9</w:t>
      </w:r>
      <w:r>
        <w:rPr>
          <w:rFonts w:hint="eastAsia"/>
          <w:b/>
          <w:bCs/>
          <w:color w:val="auto"/>
          <w:highlight w:val="none"/>
        </w:rPr>
        <w:t>.项目合同</w:t>
      </w:r>
      <w:bookmarkEnd w:id="112"/>
    </w:p>
    <w:p w14:paraId="208F2B7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3</w:t>
      </w:r>
      <w:r>
        <w:rPr>
          <w:rFonts w:hint="eastAsia"/>
          <w:color w:val="auto"/>
          <w:highlight w:val="none"/>
          <w:lang w:val="en-US" w:eastAsia="zh-CN"/>
        </w:rPr>
        <w:t>9</w:t>
      </w:r>
      <w:r>
        <w:rPr>
          <w:rFonts w:hint="eastAsia"/>
          <w:color w:val="auto"/>
          <w:highlight w:val="none"/>
        </w:rPr>
        <w:t>.1  中标通知书发出后，采购人不得违法改变中标结果，中标人无正当理由不得放弃中标。</w:t>
      </w:r>
    </w:p>
    <w:p w14:paraId="106EC3B2">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3</w:t>
      </w:r>
      <w:r>
        <w:rPr>
          <w:rFonts w:hint="eastAsia"/>
          <w:color w:val="auto"/>
          <w:highlight w:val="none"/>
          <w:lang w:val="en-US" w:eastAsia="zh-CN"/>
        </w:rPr>
        <w:t>9</w:t>
      </w:r>
      <w:r>
        <w:rPr>
          <w:rFonts w:hint="eastAsia"/>
          <w:color w:val="auto"/>
          <w:highlight w:val="none"/>
        </w:rPr>
        <w:t>.2  采购人应当自中标通知书发出之日起</w:t>
      </w:r>
      <w:r>
        <w:rPr>
          <w:rFonts w:hint="eastAsia"/>
          <w:color w:val="auto"/>
          <w:highlight w:val="none"/>
          <w:lang w:val="en-US" w:eastAsia="zh-CN"/>
        </w:rPr>
        <w:t>30</w:t>
      </w:r>
      <w:r>
        <w:rPr>
          <w:rFonts w:hint="eastAsia"/>
          <w:color w:val="auto"/>
          <w:highlight w:val="none"/>
        </w:rPr>
        <w:t>日内，按照招标文件和中标人投标文件的规定，与中标人签订书面合同。所签订的合同不得对招标文件确定的事项和中标人投标文件作实质性修改。</w:t>
      </w:r>
    </w:p>
    <w:p w14:paraId="5FCF73CE">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采购人不得向中标人提出任何不合理的要求作为签订合同的条件。</w:t>
      </w:r>
    </w:p>
    <w:p w14:paraId="33D5DDF2">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color w:val="auto"/>
          <w:sz w:val="24"/>
          <w:highlight w:val="none"/>
        </w:rPr>
      </w:pPr>
      <w:bookmarkStart w:id="113" w:name="_Toc3910"/>
      <w:r>
        <w:rPr>
          <w:rFonts w:hint="eastAsia" w:ascii="宋体" w:hAnsi="宋体" w:cs="宋体"/>
          <w:b/>
          <w:color w:val="auto"/>
          <w:sz w:val="24"/>
          <w:highlight w:val="none"/>
          <w:lang w:val="en-US" w:eastAsia="zh-CN"/>
        </w:rPr>
        <w:t>40</w:t>
      </w:r>
      <w:r>
        <w:rPr>
          <w:rFonts w:hint="eastAsia" w:ascii="宋体" w:hAnsi="宋体" w:cs="宋体"/>
          <w:b/>
          <w:color w:val="auto"/>
          <w:sz w:val="24"/>
          <w:highlight w:val="none"/>
        </w:rPr>
        <w:t>.质疑处理</w:t>
      </w:r>
      <w:bookmarkEnd w:id="113"/>
    </w:p>
    <w:p w14:paraId="35D2B6B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40</w:t>
      </w:r>
      <w:r>
        <w:rPr>
          <w:rFonts w:hint="eastAsia" w:ascii="宋体" w:hAnsi="宋体" w:cs="宋体"/>
          <w:bCs/>
          <w:color w:val="auto"/>
          <w:sz w:val="24"/>
          <w:highlight w:val="none"/>
        </w:rPr>
        <w:t>.1  对质疑事项，投标人参照采购法及其条例等法律法规规定进行。</w:t>
      </w:r>
    </w:p>
    <w:p w14:paraId="176FD07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yellow"/>
        </w:rPr>
      </w:pPr>
      <w:r>
        <w:rPr>
          <w:rFonts w:hint="eastAsia" w:ascii="宋体" w:hAnsi="宋体" w:cs="宋体"/>
          <w:bCs/>
          <w:color w:val="auto"/>
          <w:sz w:val="24"/>
          <w:highlight w:val="none"/>
          <w:lang w:val="en-US" w:eastAsia="zh-CN"/>
        </w:rPr>
        <w:t>40</w:t>
      </w:r>
      <w:r>
        <w:rPr>
          <w:rFonts w:hint="eastAsia" w:ascii="宋体" w:hAnsi="宋体" w:cs="宋体"/>
          <w:bCs/>
          <w:color w:val="auto"/>
          <w:sz w:val="24"/>
          <w:highlight w:val="none"/>
        </w:rPr>
        <w:t>.2  质疑须以书面送达形式向采购人提出。非书面送达形式、逾期（以采购人或代</w:t>
      </w:r>
      <w:r>
        <w:rPr>
          <w:rFonts w:hint="eastAsia" w:ascii="宋体" w:hAnsi="宋体" w:eastAsia="宋体" w:cs="宋体"/>
          <w:bCs/>
          <w:color w:val="auto"/>
          <w:sz w:val="24"/>
          <w:highlight w:val="none"/>
        </w:rPr>
        <w:t>理机构收悉时间为准）提交以及匿名的质疑将不予受理。已参加开标的投标供应商不得就采购文件内容提出质疑。</w:t>
      </w:r>
    </w:p>
    <w:p w14:paraId="00AA035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40</w:t>
      </w:r>
      <w:r>
        <w:rPr>
          <w:rFonts w:hint="eastAsia" w:ascii="宋体" w:hAnsi="宋体" w:cs="宋体"/>
          <w:bCs/>
          <w:color w:val="auto"/>
          <w:sz w:val="24"/>
          <w:highlight w:val="none"/>
        </w:rPr>
        <w:t>.3  质疑必须有参加投标供应商法定代表人或授权代表（投标文件中所确定的）签字，并加盖投标人公章，以书面送达的方式提交。未按上述要求提交的质疑函（含传真、电子邮件等非书面送达方式）采购人有权不予受理。</w:t>
      </w:r>
    </w:p>
    <w:p w14:paraId="21DB04A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40</w:t>
      </w:r>
      <w:r>
        <w:rPr>
          <w:rFonts w:hint="eastAsia" w:ascii="宋体" w:hAnsi="宋体" w:cs="宋体"/>
          <w:bCs/>
          <w:color w:val="auto"/>
          <w:sz w:val="24"/>
          <w:highlight w:val="none"/>
        </w:rPr>
        <w:t>.4  未参加投标的供应商（未报名或未参加投标）或在投标活动中本身权益未受到损害或从投标活动中受益的供应商所提出的质疑也不予受理。</w:t>
      </w:r>
    </w:p>
    <w:p w14:paraId="416D4A5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40</w:t>
      </w:r>
      <w:r>
        <w:rPr>
          <w:rFonts w:hint="eastAsia" w:ascii="宋体" w:hAnsi="宋体" w:cs="宋体"/>
          <w:bCs/>
          <w:color w:val="auto"/>
          <w:sz w:val="24"/>
          <w:highlight w:val="none"/>
        </w:rPr>
        <w:t>.5  供应商提出质疑，应当采取书面送达形式，在法定时间内向采购人提交质疑函，质疑函应当包括下列内容：</w:t>
      </w:r>
    </w:p>
    <w:p w14:paraId="6119AA3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（一）质疑供应商的名称、地址、邮编、联系人、联系电话；</w:t>
      </w:r>
    </w:p>
    <w:p w14:paraId="0EAF4DF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（二）具体的质疑事项及事实根据；</w:t>
      </w:r>
    </w:p>
    <w:p w14:paraId="05D9642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（三）认为自己合法权益受到损害或可能受到损害的相关证据材料；</w:t>
      </w:r>
    </w:p>
    <w:p w14:paraId="3E3D0CB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（四）提起质疑的日期；</w:t>
      </w:r>
    </w:p>
    <w:p w14:paraId="2E31786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（五）质疑函应当署名：质疑人为自然人的，应当由本人签字并附有效身份证明；质疑人为法人或其他组织的，应当由法定代表人签字并加盖单位公章。</w:t>
      </w:r>
    </w:p>
    <w:p w14:paraId="1A27091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供应商委托代理质疑的，应当向被质疑人提交授权委托书，并载明委托代理的具体权限和事项。</w:t>
      </w:r>
    </w:p>
    <w:p w14:paraId="73878FF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40</w:t>
      </w:r>
      <w:r>
        <w:rPr>
          <w:rFonts w:hint="eastAsia" w:ascii="宋体" w:hAnsi="宋体" w:cs="宋体"/>
          <w:bCs/>
          <w:color w:val="auto"/>
          <w:sz w:val="24"/>
          <w:highlight w:val="none"/>
        </w:rPr>
        <w:t>.6  供应商提出书面质疑必须有理、有据，不得恶意质疑或提交虚假质疑。供应商恶意质疑或提交虚假质疑的，情节严重的，报请监督管理部门对该供应商进行相应的行政处罚，并保留诉讼的权利。</w:t>
      </w:r>
    </w:p>
    <w:p w14:paraId="37C9BD0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bCs/>
          <w:color w:val="auto"/>
          <w:sz w:val="24"/>
          <w:highlight w:val="none"/>
          <w:lang w:val="en-US" w:eastAsia="zh-CN"/>
        </w:rPr>
        <w:t>40</w:t>
      </w:r>
      <w:r>
        <w:rPr>
          <w:rFonts w:hint="eastAsia" w:ascii="宋体" w:hAnsi="宋体" w:cs="宋体"/>
          <w:bCs/>
          <w:color w:val="auto"/>
          <w:sz w:val="24"/>
          <w:highlight w:val="none"/>
        </w:rPr>
        <w:t>.7  采购人或采购代理机构将在法律法规等规定期限内对询问或质疑作出答复。对采购人或采购代理机构的质疑答复不满意，或者采购人或采购代理机构未在规定期限内作出答复的，投标人应在法律法规等规定期限内向同级监督部门提起投诉。</w:t>
      </w:r>
    </w:p>
    <w:p w14:paraId="31EB8A5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color w:val="auto"/>
          <w:sz w:val="24"/>
          <w:highlight w:val="none"/>
        </w:rPr>
      </w:pPr>
      <w:bookmarkStart w:id="114" w:name="_Toc2188"/>
      <w:r>
        <w:rPr>
          <w:rFonts w:hint="eastAsia" w:ascii="宋体" w:hAnsi="宋体" w:cs="宋体"/>
          <w:b/>
          <w:color w:val="auto"/>
          <w:sz w:val="24"/>
          <w:highlight w:val="none"/>
          <w:lang w:val="en-US" w:eastAsia="zh-CN"/>
        </w:rPr>
        <w:t>41</w:t>
      </w:r>
      <w:r>
        <w:rPr>
          <w:rFonts w:hint="eastAsia" w:ascii="宋体" w:hAnsi="宋体" w:cs="宋体"/>
          <w:b/>
          <w:color w:val="auto"/>
          <w:sz w:val="24"/>
          <w:highlight w:val="none"/>
        </w:rPr>
        <w:t>.质疑和投诉</w:t>
      </w:r>
      <w:bookmarkEnd w:id="114"/>
    </w:p>
    <w:p w14:paraId="4EFF8E99">
      <w:pPr>
        <w:keepNext w:val="0"/>
        <w:keepLines w:val="0"/>
        <w:pageBreakBefore w:val="0"/>
        <w:widowControl/>
        <w:tabs>
          <w:tab w:val="left" w:pos="90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ascii="宋体" w:hAnsi="宋体" w:cs="宋体"/>
          <w:color w:val="auto"/>
          <w:sz w:val="24"/>
          <w:highlight w:val="none"/>
        </w:rPr>
        <w:t>本项目为国有企业采购</w:t>
      </w:r>
      <w:r>
        <w:rPr>
          <w:rFonts w:hint="eastAsia" w:ascii="宋体" w:hAnsi="宋体" w:cs="宋体"/>
          <w:color w:val="auto"/>
          <w:sz w:val="24"/>
          <w:highlight w:val="none"/>
        </w:rPr>
        <w:t>货物</w:t>
      </w:r>
      <w:r>
        <w:rPr>
          <w:rFonts w:ascii="宋体" w:hAnsi="宋体" w:cs="宋体"/>
          <w:color w:val="auto"/>
          <w:sz w:val="24"/>
          <w:highlight w:val="none"/>
        </w:rPr>
        <w:t>项目，不适用《中华人民共和国政府采购法》等政府采购相关法律法规。为便于本项目的顺利实施，采购人比照《中华人民共和国政府采购法》等有关规定开展采购活动。如供应商对本项目提出质疑或提起投诉的，请与采购人、代理公司或采购人主管部门联系处理。响水县公共资源交易中心仅提供发布信息、场地等服务，不负责处理相关质疑、投诉事项。</w:t>
      </w:r>
    </w:p>
    <w:p w14:paraId="3F973FE0">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cs="宋体"/>
          <w:b/>
          <w:bCs/>
          <w:color w:val="auto"/>
          <w:sz w:val="24"/>
          <w:highlight w:val="none"/>
        </w:rPr>
      </w:pPr>
      <w:bookmarkStart w:id="115" w:name="_Toc16329"/>
      <w:r>
        <w:rPr>
          <w:rFonts w:hint="eastAsia" w:ascii="宋体" w:hAnsi="宋体" w:cs="宋体"/>
          <w:b/>
          <w:bCs/>
          <w:color w:val="auto"/>
          <w:sz w:val="24"/>
          <w:highlight w:val="none"/>
        </w:rPr>
        <w:t>4</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.监督部门</w:t>
      </w:r>
      <w:bookmarkEnd w:id="115"/>
    </w:p>
    <w:p w14:paraId="64D8A70F">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color w:val="auto"/>
          <w:highlight w:val="none"/>
        </w:rPr>
      </w:pPr>
      <w:r>
        <w:rPr>
          <w:rFonts w:hint="eastAsia"/>
          <w:color w:val="auto"/>
          <w:highlight w:val="none"/>
        </w:rPr>
        <w:t>监督部门：响水县人民政府国有资产监督管理办公室，联系电话：0515-8688357</w:t>
      </w:r>
      <w:bookmarkStart w:id="116" w:name="_Toc16667"/>
      <w:bookmarkStart w:id="117" w:name="_Toc19528"/>
      <w:bookmarkStart w:id="118" w:name="_Toc120614220"/>
      <w:bookmarkStart w:id="119" w:name="_Toc513029236"/>
      <w:bookmarkStart w:id="120" w:name="_Toc16938552"/>
      <w:bookmarkStart w:id="121" w:name="_Toc20823308"/>
      <w:r>
        <w:rPr>
          <w:rFonts w:hint="eastAsia"/>
          <w:color w:val="auto"/>
          <w:highlight w:val="none"/>
        </w:rPr>
        <w:t>0</w:t>
      </w:r>
      <w:bookmarkStart w:id="122" w:name="_Toc11454"/>
      <w:bookmarkStart w:id="123" w:name="_Toc19379"/>
      <w:bookmarkStart w:id="124" w:name="_Toc16302"/>
      <w:bookmarkStart w:id="125" w:name="_Toc20442"/>
    </w:p>
    <w:p w14:paraId="23B76D26">
      <w:pPr>
        <w:pStyle w:val="22"/>
        <w:adjustRightInd w:val="0"/>
        <w:snapToGrid w:val="0"/>
        <w:spacing w:before="0" w:beforeAutospacing="0" w:after="0" w:afterAutospacing="0" w:line="360" w:lineRule="auto"/>
        <w:ind w:firstLine="480" w:firstLineChars="200"/>
        <w:jc w:val="both"/>
        <w:rPr>
          <w:rFonts w:hint="eastAsia"/>
          <w:color w:val="auto"/>
          <w:highlight w:val="none"/>
        </w:rPr>
      </w:pPr>
    </w:p>
    <w:p w14:paraId="4BC55BB6">
      <w:pPr>
        <w:pStyle w:val="22"/>
        <w:adjustRightInd w:val="0"/>
        <w:snapToGrid w:val="0"/>
        <w:spacing w:before="80" w:beforeAutospacing="0" w:after="80" w:afterAutospacing="0" w:line="360" w:lineRule="auto"/>
        <w:jc w:val="center"/>
        <w:rPr>
          <w:rFonts w:hint="eastAsia"/>
          <w:b/>
          <w:color w:val="auto"/>
          <w:sz w:val="44"/>
          <w:szCs w:val="44"/>
          <w:highlight w:val="none"/>
        </w:rPr>
        <w:sectPr>
          <w:footerReference r:id="rId5" w:type="default"/>
          <w:pgSz w:w="11906" w:h="16838"/>
          <w:pgMar w:top="1440" w:right="1440" w:bottom="1440" w:left="1440" w:header="851" w:footer="686" w:gutter="0"/>
          <w:pgNumType w:fmt="decimal" w:start="1"/>
          <w:cols w:space="0" w:num="1"/>
          <w:docGrid w:type="lines" w:linePitch="322" w:charSpace="0"/>
        </w:sectPr>
      </w:pPr>
    </w:p>
    <w:p w14:paraId="6A08E8F3">
      <w:pPr>
        <w:pStyle w:val="22"/>
        <w:adjustRightInd w:val="0"/>
        <w:snapToGrid w:val="0"/>
        <w:spacing w:before="80" w:beforeAutospacing="0" w:after="80" w:afterAutospacing="0" w:line="360" w:lineRule="auto"/>
        <w:jc w:val="center"/>
        <w:rPr>
          <w:rFonts w:hint="eastAsia"/>
          <w:b/>
          <w:color w:val="auto"/>
          <w:sz w:val="44"/>
          <w:szCs w:val="44"/>
          <w:highlight w:val="none"/>
        </w:rPr>
      </w:pPr>
      <w:r>
        <w:rPr>
          <w:rFonts w:hint="eastAsia"/>
          <w:b/>
          <w:color w:val="auto"/>
          <w:sz w:val="44"/>
          <w:szCs w:val="44"/>
          <w:highlight w:val="none"/>
        </w:rPr>
        <w:t>第三章 项目需求</w:t>
      </w:r>
      <w:bookmarkEnd w:id="116"/>
      <w:bookmarkEnd w:id="117"/>
      <w:bookmarkEnd w:id="122"/>
      <w:bookmarkEnd w:id="123"/>
      <w:bookmarkEnd w:id="124"/>
      <w:bookmarkEnd w:id="125"/>
    </w:p>
    <w:bookmarkEnd w:id="118"/>
    <w:bookmarkEnd w:id="119"/>
    <w:bookmarkEnd w:id="120"/>
    <w:bookmarkEnd w:id="121"/>
    <w:p w14:paraId="4F6050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宋体" w:hAnsi="宋体" w:eastAsia="宋体" w:cs="宋体"/>
          <w:color w:val="auto"/>
          <w:sz w:val="24"/>
          <w:highlight w:val="none"/>
          <w:lang w:val="en-US" w:eastAsia="zh-CN"/>
        </w:rPr>
      </w:pPr>
      <w:bookmarkStart w:id="126" w:name="_Toc17465"/>
      <w:bookmarkStart w:id="127" w:name="_Toc21364"/>
      <w:bookmarkStart w:id="128" w:name="_Toc10381"/>
      <w:bookmarkStart w:id="129" w:name="_Toc830"/>
      <w:bookmarkStart w:id="130" w:name="_Toc4275"/>
      <w:bookmarkStart w:id="131" w:name="_Toc9794"/>
      <w:r>
        <w:rPr>
          <w:rFonts w:hint="eastAsia" w:ascii="宋体" w:hAnsi="宋体" w:cs="宋体"/>
          <w:color w:val="auto"/>
          <w:sz w:val="24"/>
          <w:highlight w:val="none"/>
        </w:rPr>
        <w:t>1、采购清单</w:t>
      </w:r>
      <w:r>
        <w:rPr>
          <w:rFonts w:hint="eastAsia" w:ascii="宋体" w:hAnsi="宋体" w:cs="宋体"/>
          <w:color w:val="auto"/>
          <w:sz w:val="24"/>
          <w:highlight w:val="none"/>
          <w:lang w:val="en-US" w:eastAsia="zh-CN"/>
        </w:rPr>
        <w:t>及技术要求</w:t>
      </w:r>
      <w:r>
        <w:rPr>
          <w:rFonts w:hint="eastAsia" w:ascii="宋体" w:hAnsi="宋体" w:cs="宋体"/>
          <w:color w:val="auto"/>
          <w:sz w:val="24"/>
          <w:highlight w:val="none"/>
        </w:rPr>
        <w:t>详见</w:t>
      </w:r>
      <w:r>
        <w:rPr>
          <w:rFonts w:hint="eastAsia" w:ascii="宋体" w:hAnsi="宋体" w:cs="宋体"/>
          <w:color w:val="auto"/>
          <w:sz w:val="24"/>
          <w:highlight w:val="none"/>
          <w:lang w:val="en-US" w:eastAsia="zh-CN"/>
        </w:rPr>
        <w:t>图纸文件和清单文件</w:t>
      </w:r>
    </w:p>
    <w:p w14:paraId="3A2915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2、报价要求</w:t>
      </w:r>
    </w:p>
    <w:p w14:paraId="1462E8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本项目为全费用综合单价报价。</w:t>
      </w:r>
      <w:r>
        <w:rPr>
          <w:rFonts w:hint="eastAsia" w:ascii="宋体" w:hAnsi="宋体" w:cs="宋体"/>
          <w:color w:val="auto"/>
          <w:sz w:val="24"/>
          <w:highlight w:val="none"/>
        </w:rPr>
        <w:t>全费用综合单价为完成整个招标范围内的全部项目总费用（包括为完成</w:t>
      </w:r>
      <w:r>
        <w:rPr>
          <w:rFonts w:hint="eastAsia" w:ascii="宋体" w:hAnsi="宋体" w:cs="宋体"/>
          <w:sz w:val="24"/>
        </w:rPr>
        <w:t>上述内容所必须的质量保证与技术支持、软件开发</w:t>
      </w:r>
      <w:r>
        <w:rPr>
          <w:rFonts w:hint="eastAsia" w:ascii="宋体" w:hAnsi="宋体" w:cs="宋体"/>
          <w:sz w:val="24"/>
          <w:lang w:eastAsia="zh-CN"/>
        </w:rPr>
        <w:t>（</w:t>
      </w:r>
      <w:r>
        <w:rPr>
          <w:rFonts w:hint="eastAsia" w:ascii="宋体" w:hAnsi="宋体" w:cs="宋体"/>
          <w:sz w:val="24"/>
          <w:lang w:val="en-US" w:eastAsia="zh-CN"/>
        </w:rPr>
        <w:t>含后期升级</w:t>
      </w:r>
      <w:r>
        <w:rPr>
          <w:rFonts w:hint="eastAsia" w:ascii="宋体" w:hAnsi="宋体" w:cs="宋体"/>
          <w:sz w:val="24"/>
          <w:lang w:eastAsia="zh-CN"/>
        </w:rPr>
        <w:t>）</w:t>
      </w:r>
      <w:r>
        <w:rPr>
          <w:rFonts w:hint="eastAsia" w:ascii="宋体" w:hAnsi="宋体" w:cs="宋体"/>
          <w:sz w:val="24"/>
        </w:rPr>
        <w:t>、加工制造、</w:t>
      </w:r>
      <w:r>
        <w:rPr>
          <w:rFonts w:hint="eastAsia" w:ascii="宋体" w:hAnsi="宋体" w:cs="宋体"/>
          <w:color w:val="auto"/>
          <w:sz w:val="24"/>
          <w:highlight w:val="none"/>
        </w:rPr>
        <w:t>采购、安装、调试、产品价格、包装费、上下货力资费、运杂费、保险费、安装布置就位费、随货提供的备品备件费及专用工具费、组装费、维修保养费、配合费、成品保护费、保洁费、售后服务费（含</w:t>
      </w:r>
      <w:r>
        <w:rPr>
          <w:rFonts w:hint="eastAsia" w:ascii="宋体" w:hAnsi="宋体" w:cs="宋体"/>
          <w:color w:val="auto"/>
          <w:sz w:val="24"/>
          <w:highlight w:val="none"/>
          <w:lang w:val="en-US" w:eastAsia="zh-CN"/>
        </w:rPr>
        <w:t>质保、质保材料耗材等、</w:t>
      </w:r>
      <w:r>
        <w:rPr>
          <w:rFonts w:hint="eastAsia" w:ascii="宋体" w:hAnsi="宋体" w:cs="宋体"/>
          <w:color w:val="auto"/>
          <w:sz w:val="24"/>
          <w:highlight w:val="none"/>
        </w:rPr>
        <w:t>培训、维保）、管理费、税金（结算时需提供甲方要求的增值税专用发票）、利润及其验收合格前相关的所有费用）。此全费用综合合价为完成整个投标项目的最终报价，国家政策性调价、市场价格变动，全费用综合单价均不作调整。采购人一律不另行支付其他费用。中标后竣工结算时全费用综合单价不予调整。</w:t>
      </w:r>
    </w:p>
    <w:p w14:paraId="11D883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）投标参数等于或相当于采购要求为无偏离，投标参数优于采购要求为正偏离，投标参数低于采购要求为负偏离。</w:t>
      </w:r>
    </w:p>
    <w:p w14:paraId="028B38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3、主要设备部件参照品牌一览表</w:t>
      </w:r>
    </w:p>
    <w:tbl>
      <w:tblPr>
        <w:tblStyle w:val="27"/>
        <w:tblW w:w="92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7"/>
        <w:gridCol w:w="2809"/>
        <w:gridCol w:w="3240"/>
        <w:gridCol w:w="2454"/>
      </w:tblGrid>
      <w:tr w14:paraId="2E0E3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83E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AA0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名称</w:t>
            </w:r>
          </w:p>
        </w:tc>
        <w:tc>
          <w:tcPr>
            <w:tcW w:w="3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6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推荐品牌</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A8D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14:paraId="0BCD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26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E2D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电动阀门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C5E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AVK   VAG   KSB</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2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含配套电动执行器：Auma、Rotork、KSB、AVK</w:t>
            </w:r>
          </w:p>
        </w:tc>
      </w:tr>
      <w:tr w14:paraId="6568A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E0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BF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手动普通阀门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A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上海冠龙</w:t>
            </w:r>
            <w:r>
              <w:rPr>
                <w:rFonts w:hint="eastAsia" w:ascii="宋体" w:hAnsi="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株洲南方</w:t>
            </w:r>
            <w:r>
              <w:rPr>
                <w:rFonts w:hint="eastAsia" w:ascii="宋体" w:hAnsi="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天津卡尔斯</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F0DF0">
            <w:pPr>
              <w:jc w:val="center"/>
              <w:rPr>
                <w:rFonts w:hint="eastAsia" w:ascii="宋体" w:hAnsi="宋体" w:eastAsia="宋体" w:cs="宋体"/>
                <w:i w:val="0"/>
                <w:iCs w:val="0"/>
                <w:color w:val="000000"/>
                <w:sz w:val="21"/>
                <w:szCs w:val="21"/>
                <w:u w:val="none"/>
              </w:rPr>
            </w:pPr>
          </w:p>
        </w:tc>
      </w:tr>
      <w:tr w14:paraId="6E144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589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7A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卧式离心泵</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24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凯泉  南方  东方</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0064">
            <w:pPr>
              <w:jc w:val="center"/>
              <w:rPr>
                <w:rFonts w:hint="eastAsia" w:ascii="宋体" w:hAnsi="宋体" w:eastAsia="宋体" w:cs="宋体"/>
                <w:i w:val="0"/>
                <w:iCs w:val="0"/>
                <w:color w:val="000000"/>
                <w:sz w:val="21"/>
                <w:szCs w:val="21"/>
                <w:u w:val="none"/>
              </w:rPr>
            </w:pPr>
          </w:p>
        </w:tc>
      </w:tr>
      <w:tr w14:paraId="28C86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33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A0F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干燥机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38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阿特拉斯  英科盛世  寿力</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D3988">
            <w:pPr>
              <w:jc w:val="center"/>
              <w:rPr>
                <w:rFonts w:hint="eastAsia" w:ascii="宋体" w:hAnsi="宋体" w:eastAsia="宋体" w:cs="宋体"/>
                <w:i w:val="0"/>
                <w:iCs w:val="0"/>
                <w:color w:val="000000"/>
                <w:sz w:val="21"/>
                <w:szCs w:val="21"/>
                <w:u w:val="none"/>
              </w:rPr>
            </w:pPr>
          </w:p>
        </w:tc>
      </w:tr>
      <w:tr w14:paraId="26F31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086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4DE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空压机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ED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阿特拉斯  英格索兰  德曼</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2E12">
            <w:pPr>
              <w:jc w:val="center"/>
              <w:rPr>
                <w:rFonts w:hint="eastAsia" w:ascii="宋体" w:hAnsi="宋体" w:eastAsia="宋体" w:cs="宋体"/>
                <w:i w:val="0"/>
                <w:iCs w:val="0"/>
                <w:color w:val="000000"/>
                <w:sz w:val="21"/>
                <w:szCs w:val="21"/>
                <w:u w:val="none"/>
              </w:rPr>
            </w:pPr>
          </w:p>
        </w:tc>
      </w:tr>
      <w:tr w14:paraId="3C0B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F0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6E1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冷干机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5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阿特拉斯  英格索兰  博格   </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7BBB6">
            <w:pPr>
              <w:jc w:val="center"/>
              <w:rPr>
                <w:rFonts w:hint="eastAsia" w:ascii="宋体" w:hAnsi="宋体" w:eastAsia="宋体" w:cs="宋体"/>
                <w:i w:val="0"/>
                <w:iCs w:val="0"/>
                <w:color w:val="000000"/>
                <w:sz w:val="21"/>
                <w:szCs w:val="21"/>
                <w:u w:val="none"/>
              </w:rPr>
            </w:pPr>
          </w:p>
        </w:tc>
      </w:tr>
      <w:tr w14:paraId="51063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EC2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3F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转子泵</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B0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耐驰    西派克   莫诺</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142C">
            <w:pPr>
              <w:jc w:val="center"/>
              <w:rPr>
                <w:rFonts w:hint="eastAsia" w:ascii="宋体" w:hAnsi="宋体" w:eastAsia="宋体" w:cs="宋体"/>
                <w:i w:val="0"/>
                <w:iCs w:val="0"/>
                <w:color w:val="000000"/>
                <w:sz w:val="21"/>
                <w:szCs w:val="21"/>
                <w:u w:val="none"/>
              </w:rPr>
            </w:pPr>
          </w:p>
        </w:tc>
      </w:tr>
      <w:tr w14:paraId="2F05E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90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CB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臭氧分析仪                                     次氯酸钠有效氯在线测定仪</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F0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哈希    E+H   WTW</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A4E2D">
            <w:pPr>
              <w:jc w:val="center"/>
              <w:rPr>
                <w:rFonts w:hint="eastAsia" w:ascii="宋体" w:hAnsi="宋体" w:eastAsia="宋体" w:cs="宋体"/>
                <w:i w:val="0"/>
                <w:iCs w:val="0"/>
                <w:color w:val="000000"/>
                <w:sz w:val="21"/>
                <w:szCs w:val="21"/>
                <w:u w:val="none"/>
              </w:rPr>
            </w:pPr>
          </w:p>
        </w:tc>
      </w:tr>
      <w:tr w14:paraId="0C643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4EE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6C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搅拌器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87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米顿罗   凯米尼尔   赛莱默</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42C5">
            <w:pPr>
              <w:jc w:val="center"/>
              <w:rPr>
                <w:rFonts w:hint="eastAsia" w:ascii="宋体" w:hAnsi="宋体" w:eastAsia="宋体" w:cs="宋体"/>
                <w:i w:val="0"/>
                <w:iCs w:val="0"/>
                <w:color w:val="000000"/>
                <w:sz w:val="21"/>
                <w:szCs w:val="21"/>
                <w:u w:val="none"/>
              </w:rPr>
            </w:pPr>
          </w:p>
        </w:tc>
      </w:tr>
      <w:tr w14:paraId="43BF1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2B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7E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电磁流量计</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23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西门子  ABB   科隆</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C3BEF">
            <w:pPr>
              <w:jc w:val="center"/>
              <w:rPr>
                <w:rFonts w:hint="eastAsia" w:ascii="宋体" w:hAnsi="宋体" w:eastAsia="宋体" w:cs="宋体"/>
                <w:i w:val="0"/>
                <w:iCs w:val="0"/>
                <w:color w:val="000000"/>
                <w:sz w:val="21"/>
                <w:szCs w:val="21"/>
                <w:u w:val="none"/>
              </w:rPr>
            </w:pPr>
          </w:p>
        </w:tc>
      </w:tr>
      <w:tr w14:paraId="3F829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33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AD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超声波液位计</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055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西门子  E+H   科隆</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8AFBF">
            <w:pPr>
              <w:jc w:val="center"/>
              <w:rPr>
                <w:rFonts w:hint="eastAsia" w:ascii="宋体" w:hAnsi="宋体" w:eastAsia="宋体" w:cs="宋体"/>
                <w:i w:val="0"/>
                <w:iCs w:val="0"/>
                <w:color w:val="000000"/>
                <w:sz w:val="21"/>
                <w:szCs w:val="21"/>
                <w:u w:val="none"/>
              </w:rPr>
            </w:pPr>
          </w:p>
        </w:tc>
      </w:tr>
      <w:tr w14:paraId="50F78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5B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3A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数据库服务器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EE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DELL   HP   联想</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F7B30">
            <w:pPr>
              <w:jc w:val="center"/>
              <w:rPr>
                <w:rFonts w:hint="eastAsia" w:ascii="宋体" w:hAnsi="宋体" w:eastAsia="宋体" w:cs="宋体"/>
                <w:i w:val="0"/>
                <w:iCs w:val="0"/>
                <w:color w:val="000000"/>
                <w:sz w:val="21"/>
                <w:szCs w:val="21"/>
                <w:u w:val="none"/>
              </w:rPr>
            </w:pPr>
          </w:p>
        </w:tc>
      </w:tr>
      <w:tr w14:paraId="6E0C3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3C7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88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组态软件                          工业数据库软件</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294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IFIX   Intouch   Wincc</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84A76">
            <w:pPr>
              <w:jc w:val="center"/>
              <w:rPr>
                <w:rFonts w:hint="eastAsia" w:ascii="宋体" w:hAnsi="宋体" w:eastAsia="宋体" w:cs="宋体"/>
                <w:i w:val="0"/>
                <w:iCs w:val="0"/>
                <w:color w:val="000000"/>
                <w:sz w:val="21"/>
                <w:szCs w:val="21"/>
                <w:u w:val="none"/>
              </w:rPr>
            </w:pPr>
          </w:p>
        </w:tc>
      </w:tr>
      <w:tr w14:paraId="5F262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FD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F1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交换机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31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恩创   MOXA   赫斯曼</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4E1A6">
            <w:pPr>
              <w:jc w:val="center"/>
              <w:rPr>
                <w:rFonts w:hint="eastAsia" w:ascii="宋体" w:hAnsi="宋体" w:eastAsia="宋体" w:cs="宋体"/>
                <w:i w:val="0"/>
                <w:iCs w:val="0"/>
                <w:color w:val="000000"/>
                <w:sz w:val="21"/>
                <w:szCs w:val="21"/>
                <w:u w:val="none"/>
              </w:rPr>
            </w:pPr>
          </w:p>
        </w:tc>
      </w:tr>
      <w:tr w14:paraId="25E6A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47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4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网管软件</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9F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华为  新华三  锐捷</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7523E">
            <w:pPr>
              <w:rPr>
                <w:rFonts w:hint="eastAsia" w:ascii="宋体" w:hAnsi="宋体" w:eastAsia="宋体" w:cs="宋体"/>
                <w:i w:val="0"/>
                <w:iCs w:val="0"/>
                <w:color w:val="000000"/>
                <w:sz w:val="21"/>
                <w:szCs w:val="21"/>
                <w:u w:val="none"/>
              </w:rPr>
            </w:pPr>
          </w:p>
        </w:tc>
      </w:tr>
      <w:tr w14:paraId="09104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73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00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LED显示屏</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A9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利亚德  洲明科技  艾比森</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20FE">
            <w:pPr>
              <w:rPr>
                <w:rFonts w:hint="eastAsia" w:ascii="宋体" w:hAnsi="宋体" w:eastAsia="宋体" w:cs="宋体"/>
                <w:i w:val="0"/>
                <w:iCs w:val="0"/>
                <w:color w:val="000000"/>
                <w:sz w:val="21"/>
                <w:szCs w:val="21"/>
                <w:u w:val="none"/>
              </w:rPr>
            </w:pPr>
          </w:p>
        </w:tc>
      </w:tr>
      <w:tr w14:paraId="747E1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E4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79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PLC</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2C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西门子 罗克韦尔   施耐德</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EB24">
            <w:pPr>
              <w:rPr>
                <w:rFonts w:hint="eastAsia" w:ascii="宋体" w:hAnsi="宋体" w:eastAsia="宋体" w:cs="宋体"/>
                <w:i w:val="0"/>
                <w:iCs w:val="0"/>
                <w:color w:val="000000"/>
                <w:sz w:val="21"/>
                <w:szCs w:val="21"/>
                <w:u w:val="none"/>
              </w:rPr>
            </w:pPr>
          </w:p>
        </w:tc>
      </w:tr>
    </w:tbl>
    <w:p w14:paraId="4EA270B0">
      <w:pPr>
        <w:spacing w:line="288" w:lineRule="auto"/>
        <w:ind w:firstLine="437"/>
        <w:rPr>
          <w:rFonts w:hint="eastAsia" w:ascii="宋体" w:hAnsi="宋体" w:cs="宋体"/>
          <w:b/>
          <w:bCs/>
        </w:rPr>
      </w:pPr>
      <w:r>
        <w:rPr>
          <w:rFonts w:hint="eastAsia" w:ascii="宋体" w:hAnsi="宋体" w:cs="宋体"/>
          <w:b/>
          <w:bCs/>
        </w:rPr>
        <w:t>说明：1、《主要设备部件参照品牌一览表》中的所有设备材料，各投标人在采购人参照品牌中选择一种品牌或不低于上述品牌的产品进行响应报价。但开标时无须确定品牌，只需将本表盖章后作为响应招标文件组成部分即可，否则将会被认定为不实质性响应招标文件，作废标处理；成交后，由投标人在采购人参照或认可品牌中任选一种品牌报采购人确认后方可采购。</w:t>
      </w:r>
    </w:p>
    <w:p w14:paraId="08FD893E">
      <w:pPr>
        <w:spacing w:line="288" w:lineRule="auto"/>
        <w:ind w:firstLine="437"/>
        <w:rPr>
          <w:rFonts w:hint="eastAsia" w:ascii="宋体" w:hAnsi="宋体" w:cs="宋体"/>
          <w:color w:val="auto"/>
          <w:sz w:val="24"/>
          <w:highlight w:val="none"/>
        </w:rPr>
      </w:pPr>
      <w:r>
        <w:rPr>
          <w:rFonts w:hint="eastAsia" w:ascii="宋体" w:hAnsi="宋体" w:cs="宋体"/>
          <w:b/>
          <w:bCs/>
        </w:rPr>
        <w:t>2、除《主要设备部件参照品牌一</w:t>
      </w:r>
      <w:r>
        <w:rPr>
          <w:rFonts w:hint="eastAsia" w:ascii="宋体" w:hAnsi="宋体" w:cs="宋体"/>
          <w:b/>
          <w:bCs/>
          <w:highlight w:val="none"/>
        </w:rPr>
        <w:t>览表》中的品牌外，产品知名度、信誉度、质量、性能、技术指标等方面不低于上述参照品牌参加开标，须在2026年</w:t>
      </w:r>
      <w:r>
        <w:rPr>
          <w:rFonts w:hint="eastAsia" w:ascii="宋体" w:hAnsi="宋体" w:cs="宋体"/>
          <w:b/>
          <w:bCs/>
          <w:highlight w:val="none"/>
          <w:lang w:val="en-US" w:eastAsia="zh-CN"/>
        </w:rPr>
        <w:t>9</w:t>
      </w:r>
      <w:r>
        <w:rPr>
          <w:rFonts w:hint="eastAsia" w:ascii="宋体" w:hAnsi="宋体" w:cs="宋体"/>
          <w:b/>
          <w:bCs/>
          <w:highlight w:val="none"/>
        </w:rPr>
        <w:t>月</w:t>
      </w:r>
      <w:r>
        <w:rPr>
          <w:rFonts w:hint="eastAsia" w:ascii="宋体" w:hAnsi="宋体" w:cs="宋体"/>
          <w:b/>
          <w:bCs/>
          <w:highlight w:val="none"/>
          <w:lang w:val="en-US" w:eastAsia="zh-CN"/>
        </w:rPr>
        <w:t>3</w:t>
      </w:r>
      <w:r>
        <w:rPr>
          <w:rFonts w:hint="eastAsia" w:ascii="宋体" w:hAnsi="宋体" w:cs="宋体"/>
          <w:b/>
          <w:bCs/>
          <w:highlight w:val="none"/>
        </w:rPr>
        <w:t>日下午5:00前，以书</w:t>
      </w:r>
      <w:r>
        <w:rPr>
          <w:rFonts w:hint="eastAsia" w:ascii="宋体" w:hAnsi="宋体" w:cs="宋体"/>
          <w:b/>
          <w:bCs/>
        </w:rPr>
        <w:t>面形式（加盖公章）向采购人提出，并附产品详细技术参数，并证明所投品牌的技术需求和性能与参照品牌同档次或高于参照品牌档次，征得采购人的认可。</w:t>
      </w:r>
    </w:p>
    <w:p w14:paraId="768EB3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2、其他要求</w:t>
      </w:r>
    </w:p>
    <w:p w14:paraId="780A45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（1）免费质保期：提供不少于3年的免费质保服务（包含所有零配件更换维修及软件系统维护升级更新等，原厂质保大于三年的，按原厂质保期实行），从验收合格之日起计算。</w:t>
      </w:r>
    </w:p>
    <w:p w14:paraId="7B423A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（2）售后服务要求：报修后必须在1小时内响应，24小时内指派专业维修技术人员到现场检修，72小时内解决故障。</w:t>
      </w:r>
    </w:p>
    <w:p w14:paraId="1A626D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（3）所有报价产品必须为合格产品，各项技术标准应当符合国家（强制性）标准及各项规范要求。国家没有相应标准、规范的，可使用行业标准。中标人供货时须提供有关货物的合格证明材料等。</w:t>
      </w:r>
    </w:p>
    <w:p w14:paraId="0F25EE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（4）中标人应保证货物是全新、未使用过的合格产品</w:t>
      </w:r>
      <w:r>
        <w:rPr>
          <w:rFonts w:hint="eastAsia" w:ascii="宋体" w:hAnsi="宋体" w:cs="宋体"/>
          <w:color w:val="auto"/>
          <w:sz w:val="24"/>
          <w:highlight w:val="none"/>
          <w:lang w:eastAsia="zh-CN"/>
        </w:rPr>
        <w:t>，</w:t>
      </w:r>
      <w:r>
        <w:rPr>
          <w:rFonts w:hint="eastAsia" w:ascii="宋体" w:hAnsi="宋体" w:cs="宋体"/>
          <w:color w:val="auto"/>
          <w:sz w:val="24"/>
          <w:highlight w:val="none"/>
        </w:rPr>
        <w:t>并完全符合合同规定的质量、规格和性能的要求。</w:t>
      </w:r>
      <w:r>
        <w:rPr>
          <w:rFonts w:hint="eastAsia" w:ascii="宋体" w:hAnsi="宋体" w:cs="宋体"/>
          <w:color w:val="auto"/>
          <w:sz w:val="24"/>
          <w:highlight w:val="none"/>
          <w:lang w:val="en-US" w:eastAsia="zh-CN"/>
        </w:rPr>
        <w:t>所有设备进场前，需经甲方确认。进口设备还需提供报关单等相关证明材料。</w:t>
      </w:r>
    </w:p>
    <w:p w14:paraId="3EE817B1">
      <w:pPr>
        <w:spacing w:line="460" w:lineRule="exact"/>
        <w:ind w:firstLine="480" w:firstLineChars="200"/>
        <w:rPr>
          <w:rFonts w:hint="eastAsia" w:ascii="宋体" w:hAnsi="宋体" w:cs="宋体"/>
          <w:color w:val="auto"/>
          <w:sz w:val="24"/>
          <w:highlight w:val="none"/>
        </w:rPr>
      </w:pPr>
    </w:p>
    <w:p w14:paraId="34E8D81B">
      <w:pPr>
        <w:spacing w:line="460" w:lineRule="exact"/>
        <w:ind w:firstLine="480" w:firstLineChars="200"/>
        <w:rPr>
          <w:rFonts w:hint="eastAsia" w:ascii="宋体" w:hAnsi="宋体" w:cs="宋体"/>
          <w:color w:val="auto"/>
          <w:sz w:val="24"/>
          <w:highlight w:val="none"/>
        </w:rPr>
      </w:pPr>
    </w:p>
    <w:p w14:paraId="321EFD9D">
      <w:pPr>
        <w:pStyle w:val="33"/>
        <w:rPr>
          <w:rFonts w:hint="eastAsia" w:ascii="宋体" w:hAnsi="宋体" w:cs="宋体"/>
          <w:color w:val="auto"/>
          <w:sz w:val="24"/>
          <w:highlight w:val="none"/>
        </w:rPr>
      </w:pPr>
    </w:p>
    <w:p w14:paraId="31D1AD6E">
      <w:pPr>
        <w:rPr>
          <w:rFonts w:hint="eastAsia" w:ascii="宋体" w:hAnsi="宋体" w:cs="宋体"/>
          <w:color w:val="auto"/>
          <w:sz w:val="24"/>
          <w:highlight w:val="none"/>
        </w:rPr>
      </w:pPr>
    </w:p>
    <w:p w14:paraId="016CCF50">
      <w:pPr>
        <w:pStyle w:val="33"/>
        <w:rPr>
          <w:rFonts w:hint="eastAsia" w:ascii="宋体" w:hAnsi="宋体" w:cs="宋体"/>
          <w:color w:val="auto"/>
          <w:sz w:val="24"/>
          <w:highlight w:val="none"/>
        </w:rPr>
      </w:pPr>
    </w:p>
    <w:p w14:paraId="698DA1B5">
      <w:pPr>
        <w:rPr>
          <w:rFonts w:hint="eastAsia" w:ascii="宋体" w:hAnsi="宋体" w:cs="宋体"/>
          <w:color w:val="auto"/>
          <w:sz w:val="24"/>
          <w:highlight w:val="none"/>
        </w:rPr>
      </w:pPr>
    </w:p>
    <w:p w14:paraId="284FD005">
      <w:pPr>
        <w:pStyle w:val="33"/>
        <w:rPr>
          <w:rFonts w:hint="eastAsia" w:ascii="宋体" w:hAnsi="宋体" w:cs="宋体"/>
          <w:color w:val="auto"/>
          <w:sz w:val="24"/>
          <w:highlight w:val="none"/>
        </w:rPr>
      </w:pPr>
    </w:p>
    <w:p w14:paraId="0FFEDC43">
      <w:pPr>
        <w:rPr>
          <w:rFonts w:hint="eastAsia" w:ascii="宋体" w:hAnsi="宋体" w:cs="宋体"/>
          <w:color w:val="auto"/>
          <w:sz w:val="24"/>
          <w:highlight w:val="none"/>
        </w:rPr>
      </w:pPr>
    </w:p>
    <w:p w14:paraId="3CB8E7CD">
      <w:pPr>
        <w:pStyle w:val="33"/>
        <w:rPr>
          <w:rFonts w:hint="eastAsia" w:ascii="宋体" w:hAnsi="宋体" w:cs="宋体"/>
          <w:color w:val="auto"/>
          <w:sz w:val="24"/>
          <w:highlight w:val="none"/>
        </w:rPr>
      </w:pPr>
    </w:p>
    <w:p w14:paraId="5C272040">
      <w:pPr>
        <w:rPr>
          <w:rFonts w:hint="eastAsia" w:ascii="宋体" w:hAnsi="宋体" w:cs="宋体"/>
          <w:color w:val="auto"/>
          <w:sz w:val="24"/>
          <w:highlight w:val="none"/>
        </w:rPr>
      </w:pPr>
    </w:p>
    <w:p w14:paraId="5C9389FE">
      <w:pPr>
        <w:pStyle w:val="33"/>
        <w:rPr>
          <w:rFonts w:hint="eastAsia"/>
        </w:rPr>
      </w:pPr>
    </w:p>
    <w:bookmarkEnd w:id="126"/>
    <w:bookmarkEnd w:id="127"/>
    <w:bookmarkEnd w:id="128"/>
    <w:bookmarkEnd w:id="129"/>
    <w:bookmarkEnd w:id="130"/>
    <w:bookmarkEnd w:id="131"/>
    <w:p w14:paraId="7C79CCD7">
      <w:pPr>
        <w:spacing w:before="80" w:beforeLines="25" w:after="80" w:afterLines="25"/>
        <w:jc w:val="center"/>
        <w:rPr>
          <w:rFonts w:hint="eastAsia" w:ascii="宋体" w:hAnsi="宋体" w:cs="宋体"/>
          <w:b/>
          <w:color w:val="auto"/>
          <w:sz w:val="44"/>
          <w:szCs w:val="44"/>
          <w:highlight w:val="none"/>
        </w:rPr>
      </w:pPr>
      <w:bookmarkStart w:id="132" w:name="_Toc20961"/>
      <w:bookmarkStart w:id="133" w:name="_Toc3917"/>
      <w:bookmarkStart w:id="134" w:name="_Toc2650"/>
      <w:bookmarkStart w:id="135" w:name="_Toc9678"/>
      <w:bookmarkStart w:id="136" w:name="_Toc19141"/>
      <w:bookmarkStart w:id="137" w:name="_Toc30401"/>
      <w:r>
        <w:rPr>
          <w:rFonts w:hint="eastAsia" w:ascii="宋体" w:hAnsi="宋体" w:cs="宋体"/>
          <w:b/>
          <w:color w:val="auto"/>
          <w:sz w:val="44"/>
          <w:szCs w:val="44"/>
          <w:highlight w:val="none"/>
        </w:rPr>
        <w:t>第四章 合同主要条款</w:t>
      </w:r>
    </w:p>
    <w:bookmarkEnd w:id="132"/>
    <w:bookmarkEnd w:id="133"/>
    <w:bookmarkEnd w:id="134"/>
    <w:bookmarkEnd w:id="135"/>
    <w:bookmarkEnd w:id="136"/>
    <w:bookmarkEnd w:id="137"/>
    <w:p w14:paraId="7510D7D3">
      <w:pPr>
        <w:wordWrap w:val="0"/>
        <w:jc w:val="right"/>
        <w:rPr>
          <w:rFonts w:hint="default" w:ascii="宋体" w:hAnsi="宋体" w:cs="宋体"/>
          <w:b/>
          <w:bCs/>
          <w:color w:val="auto"/>
          <w:sz w:val="36"/>
          <w:szCs w:val="24"/>
          <w:highlight w:val="none"/>
          <w:lang w:val="en-US"/>
        </w:rPr>
      </w:pPr>
      <w:bookmarkStart w:id="138" w:name="_Hlt16619369"/>
      <w:bookmarkEnd w:id="138"/>
      <w:r>
        <w:rPr>
          <w:rFonts w:hint="eastAsia" w:ascii="宋体" w:hAnsi="宋体" w:cs="宋体"/>
          <w:b/>
          <w:bCs/>
          <w:color w:val="auto"/>
          <w:sz w:val="32"/>
          <w:szCs w:val="32"/>
          <w:highlight w:val="none"/>
          <w:lang w:val="en-US" w:eastAsia="zh-CN"/>
        </w:rPr>
        <w:t xml:space="preserve">合同编号：     </w:t>
      </w:r>
    </w:p>
    <w:p w14:paraId="0300C9AC">
      <w:pPr>
        <w:spacing w:before="104" w:beforeLines="25" w:after="104" w:afterLines="25"/>
        <w:jc w:val="center"/>
        <w:rPr>
          <w:rFonts w:hint="eastAsia" w:ascii="宋体" w:hAnsi="宋体" w:cs="宋体"/>
          <w:b/>
          <w:bCs/>
          <w:color w:val="auto"/>
          <w:sz w:val="36"/>
          <w:highlight w:val="none"/>
        </w:rPr>
      </w:pPr>
    </w:p>
    <w:p w14:paraId="09836859">
      <w:pPr>
        <w:spacing w:before="104" w:beforeLines="25" w:after="104" w:afterLines="25"/>
        <w:jc w:val="center"/>
        <w:rPr>
          <w:rFonts w:hint="eastAsia" w:ascii="宋体" w:hAnsi="宋体" w:cs="宋体"/>
          <w:b/>
          <w:bCs/>
          <w:color w:val="auto"/>
          <w:sz w:val="36"/>
          <w:szCs w:val="24"/>
          <w:highlight w:val="none"/>
        </w:rPr>
      </w:pPr>
      <w:r>
        <w:rPr>
          <w:rFonts w:hint="eastAsia" w:ascii="宋体" w:hAnsi="宋体" w:cs="宋体"/>
          <w:b/>
          <w:bCs/>
          <w:color w:val="auto"/>
          <w:sz w:val="36"/>
          <w:highlight w:val="none"/>
        </w:rPr>
        <w:t>采购合同</w:t>
      </w:r>
    </w:p>
    <w:p w14:paraId="366B5FA9">
      <w:pPr>
        <w:spacing w:before="104" w:beforeLines="25" w:after="104" w:afterLines="25"/>
        <w:jc w:val="center"/>
        <w:rPr>
          <w:rFonts w:hint="eastAsia" w:ascii="宋体" w:hAnsi="宋体" w:cs="宋体"/>
          <w:b/>
          <w:bCs/>
          <w:color w:val="auto"/>
          <w:sz w:val="36"/>
          <w:szCs w:val="24"/>
          <w:highlight w:val="none"/>
        </w:rPr>
      </w:pPr>
    </w:p>
    <w:p w14:paraId="35B65F94">
      <w:pPr>
        <w:spacing w:before="104" w:beforeLines="25" w:after="104" w:afterLines="25"/>
        <w:ind w:firstLine="970" w:firstLineChars="345"/>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bidi="ar"/>
        </w:rPr>
        <w:t>项目名称：</w:t>
      </w:r>
      <w:r>
        <w:rPr>
          <w:rFonts w:hint="eastAsia" w:ascii="宋体" w:hAnsi="宋体" w:eastAsia="宋体" w:cs="宋体"/>
          <w:b/>
          <w:bCs/>
          <w:color w:val="auto"/>
          <w:sz w:val="28"/>
          <w:szCs w:val="28"/>
          <w:highlight w:val="none"/>
          <w:lang w:val="en-US" w:eastAsia="zh-CN" w:bidi="ar"/>
        </w:rPr>
        <w:t xml:space="preserve">   </w:t>
      </w:r>
    </w:p>
    <w:p w14:paraId="69F2323A">
      <w:pPr>
        <w:spacing w:before="104" w:beforeLines="25" w:after="104" w:afterLines="25"/>
        <w:ind w:right="890" w:rightChars="424"/>
        <w:rPr>
          <w:rFonts w:hint="eastAsia" w:ascii="宋体" w:hAnsi="宋体" w:cs="宋体"/>
          <w:b/>
          <w:bCs/>
          <w:color w:val="auto"/>
          <w:sz w:val="28"/>
          <w:szCs w:val="28"/>
          <w:highlight w:val="none"/>
        </w:rPr>
      </w:pPr>
    </w:p>
    <w:p w14:paraId="74D3375D">
      <w:pPr>
        <w:spacing w:before="104" w:beforeLines="25" w:after="104" w:afterLines="25"/>
        <w:rPr>
          <w:rFonts w:hint="eastAsia" w:ascii="宋体" w:hAnsi="宋体" w:cs="宋体"/>
          <w:b/>
          <w:bCs/>
          <w:color w:val="auto"/>
          <w:sz w:val="28"/>
          <w:szCs w:val="28"/>
          <w:highlight w:val="none"/>
        </w:rPr>
      </w:pPr>
    </w:p>
    <w:p w14:paraId="4BF6D97B">
      <w:pPr>
        <w:spacing w:before="104" w:beforeLines="25" w:after="104" w:afterLines="25"/>
        <w:rPr>
          <w:rFonts w:hint="eastAsia" w:ascii="宋体" w:hAnsi="宋体" w:cs="宋体"/>
          <w:b/>
          <w:bCs/>
          <w:color w:val="auto"/>
          <w:sz w:val="28"/>
          <w:szCs w:val="28"/>
          <w:highlight w:val="none"/>
        </w:rPr>
      </w:pPr>
    </w:p>
    <w:p w14:paraId="6EB5790B">
      <w:pPr>
        <w:spacing w:before="104" w:beforeLines="25" w:after="104" w:afterLines="25"/>
        <w:rPr>
          <w:rFonts w:hint="eastAsia" w:ascii="宋体" w:hAnsi="宋体" w:cs="宋体"/>
          <w:b/>
          <w:bCs/>
          <w:color w:val="auto"/>
          <w:sz w:val="28"/>
          <w:szCs w:val="28"/>
          <w:highlight w:val="none"/>
        </w:rPr>
      </w:pPr>
    </w:p>
    <w:p w14:paraId="0A83917E">
      <w:pPr>
        <w:spacing w:before="104" w:beforeLines="25" w:after="104" w:afterLines="25"/>
        <w:ind w:right="210" w:rightChars="100" w:firstLine="826" w:firstLineChars="294"/>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bidi="ar"/>
        </w:rPr>
        <w:t>甲方：</w:t>
      </w:r>
      <w:r>
        <w:rPr>
          <w:rFonts w:hint="eastAsia" w:ascii="宋体" w:hAnsi="宋体" w:cs="宋体"/>
          <w:b/>
          <w:bCs/>
          <w:color w:val="auto"/>
          <w:sz w:val="28"/>
          <w:szCs w:val="28"/>
          <w:highlight w:val="none"/>
          <w:lang w:val="en-US" w:eastAsia="zh-CN"/>
        </w:rPr>
        <w:t xml:space="preserve">   </w:t>
      </w:r>
    </w:p>
    <w:p w14:paraId="3E6940C8">
      <w:pPr>
        <w:spacing w:before="104" w:beforeLines="25" w:after="104" w:afterLines="25"/>
        <w:ind w:right="1380" w:rightChars="657"/>
        <w:rPr>
          <w:rFonts w:hint="eastAsia" w:ascii="宋体" w:hAnsi="宋体" w:cs="宋体"/>
          <w:b/>
          <w:bCs/>
          <w:color w:val="auto"/>
          <w:sz w:val="28"/>
          <w:szCs w:val="28"/>
          <w:highlight w:val="none"/>
        </w:rPr>
      </w:pPr>
    </w:p>
    <w:p w14:paraId="04721A34">
      <w:pPr>
        <w:spacing w:before="104" w:beforeLines="25" w:after="104" w:afterLines="25"/>
        <w:ind w:right="1380" w:rightChars="657" w:firstLine="826" w:firstLineChars="294"/>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bidi="ar"/>
        </w:rPr>
        <w:t>乙方：</w:t>
      </w:r>
      <w:r>
        <w:rPr>
          <w:rFonts w:hint="eastAsia" w:ascii="宋体" w:hAnsi="宋体" w:cs="宋体"/>
          <w:b/>
          <w:bCs/>
          <w:color w:val="auto"/>
          <w:sz w:val="28"/>
          <w:szCs w:val="28"/>
          <w:highlight w:val="none"/>
          <w:lang w:val="en-US" w:eastAsia="zh-CN" w:bidi="ar"/>
        </w:rPr>
        <w:t xml:space="preserve">   </w:t>
      </w:r>
    </w:p>
    <w:p w14:paraId="770B7081">
      <w:pPr>
        <w:spacing w:before="104" w:beforeLines="25" w:after="104" w:afterLines="25"/>
        <w:rPr>
          <w:rFonts w:hint="eastAsia" w:ascii="宋体" w:hAnsi="宋体" w:cs="宋体"/>
          <w:b/>
          <w:bCs/>
          <w:color w:val="auto"/>
          <w:sz w:val="28"/>
          <w:szCs w:val="28"/>
          <w:highlight w:val="none"/>
        </w:rPr>
      </w:pPr>
    </w:p>
    <w:p w14:paraId="4DCC8FB1">
      <w:pPr>
        <w:spacing w:before="104" w:beforeLines="25" w:after="104" w:afterLines="25"/>
        <w:ind w:right="481" w:rightChars="229"/>
        <w:rPr>
          <w:rFonts w:hint="eastAsia" w:ascii="宋体" w:hAnsi="宋体" w:cs="宋体"/>
          <w:b/>
          <w:bCs/>
          <w:color w:val="auto"/>
          <w:sz w:val="28"/>
          <w:szCs w:val="28"/>
          <w:highlight w:val="none"/>
        </w:rPr>
      </w:pPr>
    </w:p>
    <w:p w14:paraId="1FF9C40A">
      <w:pPr>
        <w:spacing w:before="104" w:beforeLines="25" w:after="104" w:afterLines="25"/>
        <w:ind w:right="481" w:rightChars="229"/>
        <w:rPr>
          <w:rFonts w:hint="eastAsia" w:ascii="宋体" w:hAnsi="宋体" w:cs="宋体"/>
          <w:b/>
          <w:bCs/>
          <w:color w:val="auto"/>
          <w:sz w:val="28"/>
          <w:szCs w:val="28"/>
          <w:highlight w:val="none"/>
        </w:rPr>
      </w:pPr>
    </w:p>
    <w:p w14:paraId="44269175">
      <w:pPr>
        <w:pStyle w:val="22"/>
        <w:spacing w:before="0" w:beforeAutospacing="0" w:after="0" w:afterAutospacing="0"/>
        <w:ind w:firstLine="240" w:firstLineChars="100"/>
        <w:jc w:val="both"/>
        <w:rPr>
          <w:color w:val="auto"/>
          <w:highlight w:val="none"/>
        </w:rPr>
      </w:pPr>
    </w:p>
    <w:p w14:paraId="5DE5CBFE">
      <w:pPr>
        <w:spacing w:before="104" w:beforeLines="25" w:after="104" w:afterLines="25"/>
        <w:ind w:right="481" w:rightChars="229" w:firstLine="826" w:firstLineChars="294"/>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bidi="ar"/>
        </w:rPr>
        <w:t>签署日期：</w:t>
      </w:r>
      <w:r>
        <w:rPr>
          <w:rFonts w:hint="eastAsia" w:ascii="宋体" w:hAnsi="宋体" w:cs="宋体"/>
          <w:b/>
          <w:bCs/>
          <w:color w:val="auto"/>
          <w:sz w:val="28"/>
          <w:szCs w:val="28"/>
          <w:highlight w:val="none"/>
          <w:lang w:val="en-US" w:eastAsia="zh-CN" w:bidi="ar"/>
        </w:rPr>
        <w:t xml:space="preserve">  </w:t>
      </w:r>
      <w:r>
        <w:rPr>
          <w:rFonts w:hint="eastAsia" w:ascii="宋体" w:hAnsi="宋体" w:cs="宋体"/>
          <w:b/>
          <w:bCs/>
          <w:color w:val="auto"/>
          <w:sz w:val="28"/>
          <w:szCs w:val="28"/>
          <w:highlight w:val="none"/>
          <w:lang w:bidi="ar"/>
        </w:rPr>
        <w:t>年</w:t>
      </w:r>
      <w:r>
        <w:rPr>
          <w:rFonts w:hint="eastAsia" w:ascii="宋体" w:hAnsi="宋体" w:cs="宋体"/>
          <w:b/>
          <w:bCs/>
          <w:color w:val="auto"/>
          <w:sz w:val="28"/>
          <w:szCs w:val="28"/>
          <w:highlight w:val="none"/>
          <w:lang w:val="en-US" w:eastAsia="zh-CN" w:bidi="ar"/>
        </w:rPr>
        <w:t xml:space="preserve">  </w:t>
      </w:r>
      <w:r>
        <w:rPr>
          <w:rFonts w:hint="eastAsia" w:ascii="宋体" w:hAnsi="宋体" w:cs="宋体"/>
          <w:b/>
          <w:bCs/>
          <w:color w:val="auto"/>
          <w:sz w:val="28"/>
          <w:szCs w:val="28"/>
          <w:highlight w:val="none"/>
          <w:lang w:bidi="ar"/>
        </w:rPr>
        <w:t>月</w:t>
      </w:r>
      <w:r>
        <w:rPr>
          <w:rFonts w:hint="eastAsia" w:ascii="宋体" w:hAnsi="宋体" w:cs="宋体"/>
          <w:b/>
          <w:bCs/>
          <w:color w:val="auto"/>
          <w:sz w:val="28"/>
          <w:szCs w:val="28"/>
          <w:highlight w:val="none"/>
          <w:lang w:val="en-US" w:eastAsia="zh-CN" w:bidi="ar"/>
        </w:rPr>
        <w:t xml:space="preserve">   </w:t>
      </w:r>
      <w:r>
        <w:rPr>
          <w:rFonts w:hint="eastAsia" w:ascii="宋体" w:hAnsi="宋体" w:cs="宋体"/>
          <w:b/>
          <w:bCs/>
          <w:color w:val="auto"/>
          <w:sz w:val="28"/>
          <w:szCs w:val="28"/>
          <w:highlight w:val="none"/>
          <w:lang w:bidi="ar"/>
        </w:rPr>
        <w:t>日</w:t>
      </w:r>
    </w:p>
    <w:p w14:paraId="062651CB">
      <w:pPr>
        <w:spacing w:before="104" w:beforeLines="25" w:after="104" w:afterLines="25"/>
        <w:rPr>
          <w:rFonts w:hint="eastAsia" w:ascii="宋体" w:hAnsi="宋体" w:cs="宋体"/>
          <w:b/>
          <w:bCs/>
          <w:color w:val="auto"/>
          <w:sz w:val="28"/>
          <w:szCs w:val="28"/>
          <w:highlight w:val="none"/>
        </w:rPr>
      </w:pPr>
    </w:p>
    <w:p w14:paraId="62DA8738">
      <w:pPr>
        <w:widowControl/>
        <w:tabs>
          <w:tab w:val="left" w:pos="900"/>
        </w:tabs>
        <w:spacing w:line="500" w:lineRule="exact"/>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bidi="ar"/>
        </w:rPr>
        <w:t xml:space="preserve"> </w:t>
      </w:r>
      <w:r>
        <w:rPr>
          <w:rFonts w:hint="eastAsia" w:ascii="宋体" w:hAnsi="宋体" w:eastAsia="宋体" w:cs="宋体"/>
          <w:color w:val="auto"/>
          <w:kern w:val="0"/>
          <w:sz w:val="24"/>
          <w:szCs w:val="24"/>
          <w:highlight w:val="none"/>
          <w:lang w:val="en-US" w:eastAsia="zh-CN" w:bidi="ar"/>
        </w:rPr>
        <w:t xml:space="preserve">   </w:t>
      </w:r>
    </w:p>
    <w:p w14:paraId="418C2868">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bidi="ar"/>
        </w:rPr>
        <w:t>甲方（采购人）：</w:t>
      </w:r>
      <w:r>
        <w:rPr>
          <w:rFonts w:hint="eastAsia" w:ascii="宋体" w:hAnsi="宋体" w:eastAsia="宋体" w:cs="宋体"/>
          <w:color w:val="auto"/>
          <w:kern w:val="0"/>
          <w:sz w:val="24"/>
          <w:szCs w:val="24"/>
          <w:highlight w:val="none"/>
          <w:u w:val="single"/>
          <w:lang w:val="en-US" w:eastAsia="zh-CN" w:bidi="ar"/>
        </w:rPr>
        <w:t xml:space="preserve">      </w:t>
      </w:r>
    </w:p>
    <w:p w14:paraId="572F4864">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乙方（供应商）：</w:t>
      </w:r>
      <w:r>
        <w:rPr>
          <w:rFonts w:hint="eastAsia" w:ascii="宋体" w:hAnsi="宋体" w:eastAsia="宋体" w:cs="宋体"/>
          <w:color w:val="auto"/>
          <w:kern w:val="0"/>
          <w:sz w:val="24"/>
          <w:szCs w:val="24"/>
          <w:highlight w:val="none"/>
          <w:u w:val="single"/>
          <w:lang w:val="en-US" w:eastAsia="zh-CN" w:bidi="ar"/>
        </w:rPr>
        <w:t xml:space="preserve">    </w:t>
      </w:r>
    </w:p>
    <w:p w14:paraId="09FC5C45">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甲方组织的</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kern w:val="0"/>
          <w:sz w:val="24"/>
          <w:szCs w:val="24"/>
          <w:highlight w:val="none"/>
          <w:lang w:bidi="ar"/>
        </w:rPr>
        <w:t>招标活动，确认乙方为中标（成交）供应商。现依据《中华人民共和国民法典》和其他有关法规，经甲、乙两方协商，就有关事项达成如下合同，双方同意严格执行本合同规定的所有条款。</w:t>
      </w:r>
    </w:p>
    <w:p w14:paraId="1A592688">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bidi="ar"/>
        </w:rPr>
        <w:t>一、 定义</w:t>
      </w:r>
    </w:p>
    <w:p w14:paraId="5DA285A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本合同中的下列术语应解释为：</w:t>
      </w:r>
    </w:p>
    <w:p w14:paraId="037AC509">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1．“合同”系指甲方与乙方签署的、合同条款中载明的甲方与乙方所达成的协议，包括所有的附件、附录和构成合同的所有文件。</w:t>
      </w:r>
    </w:p>
    <w:p w14:paraId="352D8570">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2．“货物”系指乙方根据合同规定须向甲方及使用方提供的一切备件、工具、手册、技术资料及其他相关材料。</w:t>
      </w:r>
    </w:p>
    <w:p w14:paraId="4DE26E95">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3．“服务”系指根据合同规定乙方须承担与供货有关的所有辅助服务，比如运输、提供技术援助、培训和其他类似的乙方应承担的义务。</w:t>
      </w:r>
    </w:p>
    <w:p w14:paraId="658E4FB0">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4．“甲方”系指采购单位。</w:t>
      </w:r>
    </w:p>
    <w:p w14:paraId="63B2F297">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5．“乙方”系指提供合同约定的货物和服务的供应商。</w:t>
      </w:r>
    </w:p>
    <w:p w14:paraId="49CD67CB">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6．签订合同文件的依据</w:t>
      </w:r>
    </w:p>
    <w:p w14:paraId="26C738E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（1）签订合同后双方有关项目的洽商、变更等书面协议或文件；</w:t>
      </w:r>
    </w:p>
    <w:p w14:paraId="18574780">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（2）甲方的</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kern w:val="0"/>
          <w:sz w:val="24"/>
          <w:szCs w:val="24"/>
          <w:highlight w:val="none"/>
          <w:lang w:bidi="ar"/>
        </w:rPr>
        <w:t>招标文件以及相关的补充文件；</w:t>
      </w:r>
    </w:p>
    <w:p w14:paraId="13D0F901">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（3）乙方所有的响应文件及澄清文件；</w:t>
      </w:r>
    </w:p>
    <w:p w14:paraId="1CACC2FE">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（4）成交（中标）通知书；</w:t>
      </w:r>
    </w:p>
    <w:p w14:paraId="67659998">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（5）标准、规范及有关技术文件；</w:t>
      </w:r>
    </w:p>
    <w:p w14:paraId="4A29BB4C">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（6）合同附件：含乙方响应文件中的《投标函》、《开标一览表》、《报价明细表》、服务承诺、产品配置情况成果文件、技术说明文件等。</w:t>
      </w:r>
    </w:p>
    <w:p w14:paraId="6FD3A505">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二、合同金额（与投标价格一致）</w:t>
      </w:r>
    </w:p>
    <w:p w14:paraId="738DD25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u w:val="single"/>
          <w:lang w:val="en-US" w:eastAsia="zh-CN" w:bidi="ar"/>
        </w:rPr>
      </w:pPr>
      <w:r>
        <w:rPr>
          <w:rFonts w:hint="eastAsia" w:ascii="宋体" w:hAnsi="宋体" w:eastAsia="宋体" w:cs="宋体"/>
          <w:color w:val="auto"/>
          <w:kern w:val="0"/>
          <w:sz w:val="24"/>
          <w:szCs w:val="24"/>
          <w:highlight w:val="none"/>
          <w:lang w:bidi="ar"/>
        </w:rPr>
        <w:t>1、本合同金额（人民币小写）：</w:t>
      </w:r>
      <w:r>
        <w:rPr>
          <w:rFonts w:hint="eastAsia" w:ascii="宋体" w:hAnsi="宋体" w:eastAsia="宋体" w:cs="宋体"/>
          <w:color w:val="auto"/>
          <w:kern w:val="0"/>
          <w:sz w:val="24"/>
          <w:szCs w:val="24"/>
          <w:highlight w:val="none"/>
          <w:u w:val="single"/>
          <w:lang w:val="en-US" w:eastAsia="zh-CN" w:bidi="ar"/>
        </w:rPr>
        <w:t xml:space="preserve">   元</w:t>
      </w:r>
      <w:r>
        <w:rPr>
          <w:rFonts w:hint="eastAsia" w:ascii="宋体" w:hAnsi="宋体" w:eastAsia="宋体" w:cs="宋体"/>
          <w:color w:val="auto"/>
          <w:kern w:val="0"/>
          <w:sz w:val="24"/>
          <w:szCs w:val="24"/>
          <w:highlight w:val="none"/>
          <w:lang w:bidi="ar"/>
        </w:rPr>
        <w:t>（人民币大写）：</w:t>
      </w:r>
      <w:r>
        <w:rPr>
          <w:rFonts w:hint="eastAsia" w:ascii="宋体" w:hAnsi="宋体" w:eastAsia="宋体" w:cs="宋体"/>
          <w:color w:val="auto"/>
          <w:kern w:val="0"/>
          <w:sz w:val="24"/>
          <w:szCs w:val="24"/>
          <w:highlight w:val="none"/>
          <w:u w:val="single"/>
          <w:lang w:val="en-US" w:eastAsia="zh-CN" w:bidi="ar"/>
        </w:rPr>
        <w:t xml:space="preserve">      </w:t>
      </w:r>
    </w:p>
    <w:p w14:paraId="77EBABB3">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(1)上述金额是指乙方为完成招标文件、工程量清单报价表中的所有内容，主要包含（但不限于）：对本次采购、安装、调试及其伴随服务各项支付金额的总和。上述金额包括乙方</w:t>
      </w:r>
      <w:r>
        <w:rPr>
          <w:rFonts w:hint="eastAsia" w:ascii="宋体" w:hAnsi="宋体" w:cs="宋体"/>
          <w:color w:val="auto"/>
          <w:sz w:val="24"/>
          <w:highlight w:val="none"/>
        </w:rPr>
        <w:t>为完成</w:t>
      </w:r>
      <w:r>
        <w:rPr>
          <w:rFonts w:hint="eastAsia" w:ascii="宋体" w:hAnsi="宋体" w:cs="宋体"/>
          <w:sz w:val="24"/>
        </w:rPr>
        <w:t>上述内容所必须的质量保证与技术支持、软件开发</w:t>
      </w:r>
      <w:r>
        <w:rPr>
          <w:rFonts w:hint="eastAsia" w:ascii="宋体" w:hAnsi="宋体" w:cs="宋体"/>
          <w:sz w:val="24"/>
          <w:lang w:eastAsia="zh-CN"/>
        </w:rPr>
        <w:t>（</w:t>
      </w:r>
      <w:r>
        <w:rPr>
          <w:rFonts w:hint="eastAsia" w:ascii="宋体" w:hAnsi="宋体" w:cs="宋体"/>
          <w:sz w:val="24"/>
          <w:lang w:val="en-US" w:eastAsia="zh-CN"/>
        </w:rPr>
        <w:t>含后期升级</w:t>
      </w:r>
      <w:r>
        <w:rPr>
          <w:rFonts w:hint="eastAsia" w:ascii="宋体" w:hAnsi="宋体" w:cs="宋体"/>
          <w:sz w:val="24"/>
          <w:lang w:eastAsia="zh-CN"/>
        </w:rPr>
        <w:t>）</w:t>
      </w:r>
      <w:r>
        <w:rPr>
          <w:rFonts w:hint="eastAsia" w:ascii="宋体" w:hAnsi="宋体" w:cs="宋体"/>
          <w:sz w:val="24"/>
        </w:rPr>
        <w:t>、加工制造、</w:t>
      </w:r>
      <w:r>
        <w:rPr>
          <w:rFonts w:hint="eastAsia" w:ascii="宋体" w:hAnsi="宋体" w:cs="宋体"/>
          <w:color w:val="auto"/>
          <w:sz w:val="24"/>
          <w:highlight w:val="none"/>
        </w:rPr>
        <w:t>采购、安装、调试、产品价格、包装费、上下货力资费、运杂费、保险费、安装布置就位费、随货提供的备品备件费及专用工具费、组装费、维修保养费、配合费、成品保护费、保洁费、售后服务费（含</w:t>
      </w:r>
      <w:r>
        <w:rPr>
          <w:rFonts w:hint="eastAsia" w:ascii="宋体" w:hAnsi="宋体" w:cs="宋体"/>
          <w:color w:val="auto"/>
          <w:sz w:val="24"/>
          <w:highlight w:val="none"/>
          <w:lang w:val="en-US" w:eastAsia="zh-CN"/>
        </w:rPr>
        <w:t>质保、质保材料耗材等、</w:t>
      </w:r>
      <w:r>
        <w:rPr>
          <w:rFonts w:hint="eastAsia" w:ascii="宋体" w:hAnsi="宋体" w:cs="宋体"/>
          <w:color w:val="auto"/>
          <w:sz w:val="24"/>
          <w:highlight w:val="none"/>
        </w:rPr>
        <w:t>培训、维保）、管理费、税金（结算时需提供甲方要求的增值税专用发票）、利润及其验收合格前相关的所有费用</w:t>
      </w:r>
      <w:r>
        <w:rPr>
          <w:rFonts w:hint="eastAsia" w:ascii="宋体" w:hAnsi="宋体" w:eastAsia="宋体" w:cs="宋体"/>
          <w:color w:val="auto"/>
          <w:kern w:val="0"/>
          <w:sz w:val="24"/>
          <w:szCs w:val="24"/>
          <w:highlight w:val="none"/>
          <w:lang w:bidi="ar"/>
        </w:rPr>
        <w:t>，同时还应充分考虑市场风险、国家政策性调整风险系数以及承担的义务、责任、风险等一切因素、不可预见费及其他一切相关费用等全部费用。安装支付使用前的一切费用由供货方承担。</w:t>
      </w:r>
    </w:p>
    <w:p w14:paraId="423CC62D">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(2)项目价格明细表（由于设备较多，具体参数详见招标文件或乙方的响应文件）</w:t>
      </w:r>
    </w:p>
    <w:p w14:paraId="16A85242">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(3)合同价款以最终</w:t>
      </w:r>
      <w:r>
        <w:rPr>
          <w:rFonts w:hint="eastAsia" w:ascii="宋体" w:hAnsi="宋体" w:eastAsia="宋体" w:cs="宋体"/>
          <w:color w:val="auto"/>
          <w:kern w:val="0"/>
          <w:sz w:val="24"/>
          <w:szCs w:val="24"/>
          <w:highlight w:val="none"/>
          <w:lang w:val="en-US" w:eastAsia="zh-CN" w:bidi="ar"/>
        </w:rPr>
        <w:t>审计</w:t>
      </w:r>
      <w:r>
        <w:rPr>
          <w:rFonts w:hint="eastAsia" w:ascii="宋体" w:hAnsi="宋体" w:eastAsia="宋体" w:cs="宋体"/>
          <w:color w:val="auto"/>
          <w:kern w:val="0"/>
          <w:sz w:val="24"/>
          <w:szCs w:val="24"/>
          <w:highlight w:val="none"/>
          <w:lang w:bidi="ar"/>
        </w:rPr>
        <w:t>价为准。</w:t>
      </w:r>
    </w:p>
    <w:p w14:paraId="6845B63E">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三、税费</w:t>
      </w:r>
    </w:p>
    <w:p w14:paraId="577BD59F">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投标报价中与本合同有关的一切税费，均由乙方负担。</w:t>
      </w:r>
    </w:p>
    <w:p w14:paraId="69965A3D">
      <w:pPr>
        <w:pStyle w:val="22"/>
        <w:keepNext w:val="0"/>
        <w:keepLines w:val="0"/>
        <w:pageBreakBefore w:val="0"/>
        <w:widowControl/>
        <w:kinsoku/>
        <w:wordWrap/>
        <w:overflowPunct/>
        <w:topLinePunct w:val="0"/>
        <w:autoSpaceDE/>
        <w:autoSpaceDN/>
        <w:bidi w:val="0"/>
        <w:adjustRightInd w:val="0"/>
        <w:snapToGrid w:val="0"/>
        <w:spacing w:before="0" w:beforeAutospacing="0" w:after="0" w:afterAutospacing="0" w:line="440" w:lineRule="exact"/>
        <w:ind w:firstLine="482" w:firstLineChars="200"/>
        <w:jc w:val="both"/>
        <w:textAlignment w:val="auto"/>
        <w:rPr>
          <w:rFonts w:hint="eastAsia" w:ascii="宋体" w:hAnsi="宋体" w:eastAsia="宋体" w:cs="宋体"/>
          <w:b/>
          <w:bCs/>
          <w:color w:val="auto"/>
          <w:highlight w:val="none"/>
        </w:rPr>
      </w:pPr>
      <w:r>
        <w:rPr>
          <w:rFonts w:hint="eastAsia" w:ascii="宋体" w:hAnsi="宋体" w:eastAsia="宋体" w:cs="宋体"/>
          <w:b/>
          <w:bCs/>
          <w:snapToGrid w:val="0"/>
          <w:color w:val="auto"/>
          <w:highlight w:val="none"/>
        </w:rPr>
        <w:t>四、供货并通过验收交付期限</w:t>
      </w:r>
    </w:p>
    <w:p w14:paraId="381D1345">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1.乙方应按合同中注明的交货期交货和提供服务，并交甲方及使用方验收使用。交货时，必须在使用单位有关人员在场的情况下现场拆封。</w:t>
      </w:r>
    </w:p>
    <w:p w14:paraId="5813BDA1">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甲方及使用方将在乙方项目完成后及时组织验收，如果货物的质量、数量与合同相符，甲方及使用方应及时签署验收意见；如果货物的质量、数量与合同规定不符，或在质量保证期内发现货物是有缺陷的，包括潜在缺陷或使用不符合要求的材料，甲方有权要求乙方进行整改，整改完成后再次组织验收，由此产生的费用由乙方承担。</w:t>
      </w:r>
    </w:p>
    <w:p w14:paraId="04A3FFE2">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3.验收不合格的货物，乙方应在服务承诺规定的时间内更换到位、并保证验收合格，逾期按交货延误处理。</w:t>
      </w:r>
    </w:p>
    <w:p w14:paraId="7390BAAB">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kern w:val="0"/>
          <w:sz w:val="24"/>
          <w:szCs w:val="24"/>
          <w:highlight w:val="none"/>
          <w:lang w:bidi="ar"/>
        </w:rPr>
        <w:t>4.</w:t>
      </w:r>
      <w:r>
        <w:rPr>
          <w:rFonts w:hint="eastAsia" w:ascii="宋体" w:hAnsi="宋体" w:eastAsia="宋体" w:cs="宋体"/>
          <w:color w:val="auto"/>
          <w:kern w:val="0"/>
          <w:sz w:val="24"/>
          <w:highlight w:val="none"/>
          <w:lang w:bidi="ar"/>
        </w:rPr>
        <w:t>乙方必须</w:t>
      </w:r>
      <w:r>
        <w:rPr>
          <w:rFonts w:hint="eastAsia" w:ascii="宋体" w:hAnsi="宋体" w:eastAsia="宋体" w:cs="宋体"/>
          <w:color w:val="auto"/>
          <w:kern w:val="0"/>
          <w:sz w:val="24"/>
          <w:highlight w:val="none"/>
          <w:lang w:val="en-US" w:eastAsia="zh-CN" w:bidi="ar"/>
        </w:rPr>
        <w:t>在</w:t>
      </w:r>
      <w:r>
        <w:rPr>
          <w:rFonts w:hint="eastAsia" w:ascii="宋体" w:hAnsi="宋体" w:eastAsia="宋体" w:cs="宋体"/>
          <w:color w:val="auto"/>
          <w:kern w:val="0"/>
          <w:sz w:val="24"/>
          <w:highlight w:val="none"/>
          <w:u w:val="single"/>
          <w:lang w:bidi="ar"/>
        </w:rPr>
        <w:t xml:space="preserve"> </w:t>
      </w:r>
      <w:r>
        <w:rPr>
          <w:rFonts w:hint="eastAsia" w:ascii="宋体" w:hAnsi="宋体" w:cs="宋体"/>
          <w:color w:val="auto"/>
          <w:kern w:val="0"/>
          <w:sz w:val="24"/>
          <w:highlight w:val="none"/>
          <w:u w:val="single"/>
          <w:lang w:val="en-US" w:eastAsia="zh-CN" w:bidi="ar"/>
        </w:rPr>
        <w:t>18</w:t>
      </w:r>
      <w:r>
        <w:rPr>
          <w:rFonts w:hint="eastAsia" w:ascii="宋体" w:hAnsi="宋体" w:eastAsia="宋体" w:cs="宋体"/>
          <w:color w:val="auto"/>
          <w:kern w:val="0"/>
          <w:sz w:val="24"/>
          <w:highlight w:val="none"/>
          <w:u w:val="single"/>
          <w:lang w:val="en-US" w:eastAsia="zh-CN" w:bidi="ar"/>
        </w:rPr>
        <w:t>0</w:t>
      </w:r>
      <w:r>
        <w:rPr>
          <w:rFonts w:hint="eastAsia" w:ascii="宋体" w:hAnsi="宋体" w:eastAsia="宋体" w:cs="宋体"/>
          <w:bCs/>
          <w:color w:val="auto"/>
          <w:sz w:val="24"/>
          <w:highlight w:val="none"/>
        </w:rPr>
        <w:t>日历天内完成全部采购设备的供货、安装、调试、并验收合格后交付甲方使用。</w:t>
      </w:r>
      <w:r>
        <w:rPr>
          <w:rFonts w:hint="eastAsia" w:ascii="宋体" w:hAnsi="宋体" w:eastAsia="宋体" w:cs="宋体"/>
          <w:bCs/>
          <w:color w:val="auto"/>
          <w:sz w:val="24"/>
          <w:highlight w:val="none"/>
          <w:lang w:val="en-US" w:eastAsia="zh-CN"/>
        </w:rPr>
        <w:t>因甲方原因、不可抗力导致工期延误的，工期相应顺延，甲乙双方均不负违约责任。</w:t>
      </w:r>
    </w:p>
    <w:p w14:paraId="62152BC3">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5.所有设备进场前需经甲方确认，方可安装</w:t>
      </w:r>
      <w:r>
        <w:rPr>
          <w:rFonts w:hint="eastAsia" w:ascii="宋体" w:hAnsi="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进口设备还需提供报关单等相关证明材料。</w:t>
      </w:r>
      <w:r>
        <w:rPr>
          <w:rFonts w:hint="eastAsia" w:ascii="宋体" w:hAnsi="宋体" w:eastAsia="宋体" w:cs="宋体"/>
          <w:color w:val="auto"/>
          <w:kern w:val="0"/>
          <w:sz w:val="24"/>
          <w:szCs w:val="24"/>
          <w:highlight w:val="none"/>
          <w:lang w:bidi="ar"/>
        </w:rPr>
        <w:t>。</w:t>
      </w:r>
    </w:p>
    <w:p w14:paraId="53D9B5D8">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eastAsia="宋体" w:cs="宋体"/>
          <w:b/>
          <w:bCs/>
          <w:color w:val="auto"/>
          <w:kern w:val="0"/>
          <w:sz w:val="24"/>
          <w:highlight w:val="none"/>
          <w:lang w:val="en-US" w:eastAsia="zh-CN"/>
        </w:rPr>
        <w:t>五</w:t>
      </w:r>
      <w:r>
        <w:rPr>
          <w:rFonts w:hint="eastAsia" w:ascii="宋体" w:hAnsi="宋体" w:eastAsia="宋体" w:cs="宋体"/>
          <w:b/>
          <w:bCs/>
          <w:color w:val="auto"/>
          <w:kern w:val="0"/>
          <w:sz w:val="24"/>
          <w:highlight w:val="none"/>
        </w:rPr>
        <w:t>、技术规格和标准</w:t>
      </w:r>
    </w:p>
    <w:p w14:paraId="0FAA6E9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1、设备及配套服务的技术、质量及其他方面要求见招标文件“项目需求”。</w:t>
      </w:r>
    </w:p>
    <w:p w14:paraId="6FADEE16">
      <w:pPr>
        <w:keepNext w:val="0"/>
        <w:keepLines w:val="0"/>
        <w:pageBreakBefore w:val="0"/>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2、设备同时应符合下列标准：</w:t>
      </w:r>
    </w:p>
    <w:p w14:paraId="5F514674">
      <w:pPr>
        <w:keepNext w:val="0"/>
        <w:keepLines w:val="0"/>
        <w:pageBreakBefore w:val="0"/>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（1）设备所适用的国家标准（强制性或推荐性标准）、行业标准、地方标准。无论设备的生产地如何，上述标准系指该设备使用地的相关标准。</w:t>
      </w:r>
    </w:p>
    <w:p w14:paraId="17D81138">
      <w:pPr>
        <w:keepNext w:val="0"/>
        <w:keepLines w:val="0"/>
        <w:pageBreakBefore w:val="0"/>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（2）设备生产企业的标准。</w:t>
      </w:r>
    </w:p>
    <w:p w14:paraId="729373B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（3）乙方所提供的产品说明书或相关说明文档中所列明的标准。</w:t>
      </w:r>
    </w:p>
    <w:p w14:paraId="59AACDB2">
      <w:pPr>
        <w:keepNext w:val="0"/>
        <w:keepLines w:val="0"/>
        <w:pageBreakBefore w:val="0"/>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多项标准不一致的，按最高的标准执行；虽有上述标准，但双方对质量有特别要求的，应按特别要求执行。</w:t>
      </w:r>
    </w:p>
    <w:p w14:paraId="1008970A">
      <w:pPr>
        <w:keepNext w:val="0"/>
        <w:keepLines w:val="0"/>
        <w:pageBreakBefore w:val="0"/>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3、乙方保证其出售的设备是原厂生产的、全新的、未使用过的（包括零部件），符合原厂质量检测标准（以说明书为准）。</w:t>
      </w:r>
    </w:p>
    <w:p w14:paraId="1FA3371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六、知识产权</w:t>
      </w:r>
    </w:p>
    <w:p w14:paraId="1911505E">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乙方应保证甲方及使用方在使用货物、服务或其任何一部分时不受第三方提出专利权、商标权、著作权等知识产权侵权的指控。一旦出现任何第三方提出侵权指控，乙方必须与第三方交涉，并承担可能发生的全部责任。</w:t>
      </w:r>
    </w:p>
    <w:p w14:paraId="0180663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七、质量保证</w:t>
      </w:r>
    </w:p>
    <w:p w14:paraId="6AE5274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1.乙方应保证提供的均为质量合格的产品。验收后在质保期内，如因产品质量等原因所产生的一切费用均由乙方负担。</w:t>
      </w:r>
    </w:p>
    <w:p w14:paraId="043566A2">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2.根据甲方验收结果或在质量保证期内，如果货物的质量或规格、数量等与合同不符，或证明有缺陷的，包括潜在的缺陷或使用不符合要求的材料等，甲方有权向乙方发出索赔通知。</w:t>
      </w:r>
    </w:p>
    <w:p w14:paraId="7228A37B">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3.乙方在收到甲方的报修通知后，应在合同所附服务承诺约定的时间内免费维护、更换有缺陷的货物或部件。</w:t>
      </w:r>
    </w:p>
    <w:p w14:paraId="28E5B63D">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4.如果乙方在收到甲方的报修通知后，在合同所附服务承诺约定的时间内没有弥补缺陷，甲方可采取必要的补救措施，但风险和费用将由乙方承担。</w:t>
      </w:r>
    </w:p>
    <w:p w14:paraId="5078E6A3">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5.质保期限自甲乙双方验收合格之日起计算。</w:t>
      </w:r>
    </w:p>
    <w:p w14:paraId="32220C5F">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八、验收的标准和方法</w:t>
      </w:r>
    </w:p>
    <w:p w14:paraId="531354F7">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1.交货时，乙方应对货物的品牌、规格型号、技术指标、性能、质量（包括货物的外观）和数量等进行准确而全面的检验，必须在使用单位有关人员在场的情况下现场拆封。</w:t>
      </w:r>
    </w:p>
    <w:p w14:paraId="5545D37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甲方及使用方将在乙方项目全部完成后及时组织验收，如果货物的质量、数量与合同相符，甲方及使用方应及时签署验收意见；如果货物的质量、数量与合同规定不符，或在质量保证期内发现货物是有缺陷的，包括潜在缺陷或使用不符合要求的材料，甲方有权要求乙方进行整改，整改完成后再次组织验收，由此产生的费用由乙方承担。</w:t>
      </w:r>
      <w:r>
        <w:rPr>
          <w:rFonts w:hint="eastAsia" w:ascii="宋体" w:hAnsi="宋体" w:eastAsia="宋体" w:cs="宋体"/>
          <w:color w:val="auto"/>
          <w:kern w:val="0"/>
          <w:sz w:val="24"/>
          <w:szCs w:val="24"/>
          <w:highlight w:val="none"/>
          <w:lang w:val="en-US" w:eastAsia="zh-CN" w:bidi="ar"/>
        </w:rPr>
        <w:t>甲方未按照约定组织验收或未经验收直接使用设备的，视为验收合格。</w:t>
      </w:r>
    </w:p>
    <w:p w14:paraId="1ABBB39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FF0000"/>
          <w:kern w:val="0"/>
          <w:sz w:val="24"/>
          <w:highlight w:val="none"/>
        </w:rPr>
      </w:pPr>
      <w:r>
        <w:rPr>
          <w:rFonts w:hint="eastAsia" w:ascii="宋体" w:hAnsi="宋体" w:eastAsia="宋体" w:cs="宋体"/>
          <w:color w:val="auto"/>
          <w:kern w:val="0"/>
          <w:sz w:val="24"/>
          <w:szCs w:val="24"/>
          <w:highlight w:val="none"/>
          <w:lang w:bidi="ar"/>
        </w:rPr>
        <w:t>3.验收不合格的项目，乙方必须在</w:t>
      </w:r>
      <w:r>
        <w:rPr>
          <w:rFonts w:hint="eastAsia" w:ascii="宋体" w:hAnsi="宋体" w:eastAsia="宋体" w:cs="宋体"/>
          <w:color w:val="auto"/>
          <w:kern w:val="0"/>
          <w:sz w:val="24"/>
          <w:szCs w:val="24"/>
          <w:highlight w:val="none"/>
          <w:lang w:val="en-US" w:eastAsia="zh-CN" w:bidi="ar"/>
        </w:rPr>
        <w:t>三</w:t>
      </w:r>
      <w:r>
        <w:rPr>
          <w:rFonts w:hint="eastAsia" w:ascii="宋体" w:hAnsi="宋体" w:eastAsia="宋体" w:cs="宋体"/>
          <w:color w:val="auto"/>
          <w:kern w:val="0"/>
          <w:sz w:val="24"/>
          <w:szCs w:val="24"/>
          <w:highlight w:val="none"/>
          <w:lang w:bidi="ar"/>
        </w:rPr>
        <w:t>个工作日内整改到位、并保证验收合格，逾期按交货延误处理。</w:t>
      </w:r>
      <w:r>
        <w:rPr>
          <w:rFonts w:hint="eastAsia" w:ascii="宋体" w:hAnsi="宋体" w:eastAsia="宋体" w:cs="宋体"/>
          <w:color w:val="auto"/>
          <w:kern w:val="0"/>
          <w:sz w:val="24"/>
          <w:highlight w:val="none"/>
        </w:rPr>
        <w:t>超过两次延误，视为乙方违约，甲方有权追究乙方违约责任。</w:t>
      </w:r>
    </w:p>
    <w:p w14:paraId="464078CE">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九、付   款</w:t>
      </w:r>
    </w:p>
    <w:p w14:paraId="3D337E9D">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1.本合同以人民币付款。</w:t>
      </w:r>
    </w:p>
    <w:p w14:paraId="3D64C8E0">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付款方式:</w:t>
      </w:r>
    </w:p>
    <w:p w14:paraId="7B720727">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所有设备到场、经验收合格并调试完成后一个月内，付至合同总价的50%，审计结束六个月内且设备、软件运行正常付至审定价的90%，剩余10%（含质保金）待质保期满后（按单一设备最长质保期计算）一次性付清。</w:t>
      </w:r>
    </w:p>
    <w:p w14:paraId="369ACBC5">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注：①以上付款均不计利息。</w:t>
      </w:r>
    </w:p>
    <w:p w14:paraId="044E8E7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②合同价款以最终</w:t>
      </w:r>
      <w:r>
        <w:rPr>
          <w:rFonts w:hint="eastAsia" w:ascii="宋体" w:hAnsi="宋体" w:eastAsia="宋体" w:cs="宋体"/>
          <w:color w:val="auto"/>
          <w:kern w:val="0"/>
          <w:sz w:val="24"/>
          <w:szCs w:val="24"/>
          <w:highlight w:val="none"/>
          <w:lang w:val="en-US" w:eastAsia="zh-CN" w:bidi="ar"/>
        </w:rPr>
        <w:t>审计价</w:t>
      </w:r>
      <w:r>
        <w:rPr>
          <w:rFonts w:hint="eastAsia" w:ascii="宋体" w:hAnsi="宋体" w:eastAsia="宋体" w:cs="宋体"/>
          <w:color w:val="auto"/>
          <w:kern w:val="0"/>
          <w:sz w:val="24"/>
          <w:szCs w:val="24"/>
          <w:highlight w:val="none"/>
          <w:lang w:bidi="ar"/>
        </w:rPr>
        <w:t>为准。</w:t>
      </w:r>
    </w:p>
    <w:p w14:paraId="6B94F6B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③乙方在甲方每次支付合同款项前15个工作日，应按各期付款数额向甲方开具符合国家法律法规和标准的增值税专用发票（13%），乙方开具发票的形式与内容均合法、有效、完整、准确，不开具增值税发票或开具不合格的，甲方有权延迟支付应付款项直至乙方开具合格票据之日且不承担任何违约责任。以上付款一律通过银行非现金方式支付。</w:t>
      </w:r>
    </w:p>
    <w:p w14:paraId="52D1E77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十、索  赔</w:t>
      </w:r>
    </w:p>
    <w:p w14:paraId="3F75FE3D">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1.甲方有权根据当地法定检验机构出具的检验报告或实际情况，向乙方提出索赔。</w:t>
      </w:r>
    </w:p>
    <w:p w14:paraId="0E93542C">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2.根据合同规定的检验期和质量保证期内，如果乙方对甲方提出的索赔负有责任，乙方应按照甲方同意的下列一种或多种方式解决索赔事宜：</w:t>
      </w:r>
    </w:p>
    <w:p w14:paraId="1C51673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（1）乙方同意退货，并用合同中规定的货币将货款退还给甲方，并承担由此发生的一切损失和费用，包括利息、银行手续费、运费、保险费、检验费、仓储费、装卸费以及为保护退回货物所需的其它必要费用。</w:t>
      </w:r>
    </w:p>
    <w:p w14:paraId="75F295ED">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（2）用符合合同规定的规格、质量和性能要求的货物来更换，乙方应承担一切费用和风险并负担甲方所蒙受的全部直接</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间接</w:t>
      </w:r>
      <w:r>
        <w:rPr>
          <w:rFonts w:hint="eastAsia" w:ascii="宋体" w:hAnsi="宋体" w:eastAsia="宋体" w:cs="宋体"/>
          <w:color w:val="auto"/>
          <w:kern w:val="0"/>
          <w:sz w:val="24"/>
          <w:szCs w:val="24"/>
          <w:highlight w:val="none"/>
          <w:lang w:bidi="ar"/>
        </w:rPr>
        <w:t>损失费用。同时，乙方应按合同规定，对修补或更换的货物相应延长质量保证期。</w:t>
      </w:r>
    </w:p>
    <w:p w14:paraId="2619C020">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如果在甲方发出索赔通知后20天内，乙方未作答复，上述索赔应视为已被乙方接受，如乙方未能在甲方提出索赔通知后20天内或甲方同意的更长时间内，按照本合同规定的任何一种方法解决索赔事宜，甲方有权从乙方的未付款项中扣回索赔金额，未付款项不足以抵偿索赔金额的，甲方可另行起诉。</w:t>
      </w:r>
    </w:p>
    <w:p w14:paraId="549BFC39">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highlight w:val="none"/>
          <w:lang w:val="en-US" w:eastAsia="zh-CN"/>
        </w:rPr>
        <w:t xml:space="preserve"> </w:t>
      </w:r>
      <w:r>
        <w:rPr>
          <w:rFonts w:hint="eastAsia" w:ascii="宋体" w:hAnsi="宋体" w:eastAsia="宋体" w:cs="宋体"/>
          <w:b/>
          <w:bCs/>
          <w:color w:val="auto"/>
          <w:kern w:val="0"/>
          <w:sz w:val="24"/>
          <w:szCs w:val="24"/>
          <w:highlight w:val="none"/>
          <w:lang w:bidi="ar"/>
        </w:rPr>
        <w:t>十一、用户培训</w:t>
      </w:r>
    </w:p>
    <w:p w14:paraId="7A3241B4">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设备安装结束后，乙方还应免费对甲方具体操作人员进行技术培训。培训人员由甲方指定，培训地点、时间由双方协商。</w:t>
      </w:r>
    </w:p>
    <w:p w14:paraId="1CD03AA8">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十二、质量保证和售后服务</w:t>
      </w:r>
    </w:p>
    <w:p w14:paraId="72EC86AD">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1.乙方应保证提供的均为质量合格的产品，如因产品质量等原因所产生的一切费用均由乙方负担。</w:t>
      </w:r>
    </w:p>
    <w:p w14:paraId="16AF89D3">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 本项目质保期限：提供不少于3年的免费质保服务（包含所有零配件更换维修及软件系统维护升级更新等，原厂质保大于三年的，按原厂质保期实行），从验收合格之日起计算。在质保期内，如因产品质量等原因所产生的一切费用均由乙方负担。</w:t>
      </w:r>
    </w:p>
    <w:p w14:paraId="69799840">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3.根据响应文件中售后所做的承诺，将售后服务方案、定期巡检以及技术支持、软件升级、技术培训、产品故障报修响应时间及达到现场维修时间的相关承诺文件附后或做出说明，并履行承诺。</w:t>
      </w:r>
    </w:p>
    <w:p w14:paraId="2C597E5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4.根据甲方验收结果或在质量保证期内，如果货物的质量或规格、数量等与合同不符，或证明有缺陷的，包括潜在的缺陷或使用不符合要求的材料等，甲方有权向乙方发出索赔通知。</w:t>
      </w:r>
    </w:p>
    <w:p w14:paraId="5AB20664">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5.乙方在收到通知后，应在合同所附服务承诺约定的时间内免费维护、更换有缺陷的货物或部件。</w:t>
      </w:r>
      <w:r>
        <w:rPr>
          <w:rFonts w:hint="eastAsia" w:ascii="宋体" w:hAnsi="宋体" w:eastAsia="宋体" w:cs="宋体"/>
          <w:color w:val="auto"/>
          <w:sz w:val="24"/>
          <w:szCs w:val="24"/>
          <w:highlight w:val="none"/>
          <w:lang w:bidi="ar"/>
        </w:rPr>
        <w:t>本项目货物设备在使用过程中出现产品质量问题时，必须在1小时内响应，24小时内指派专业维修技术人员到现场检修，</w:t>
      </w:r>
      <w:r>
        <w:rPr>
          <w:rFonts w:hint="eastAsia" w:ascii="宋体" w:hAnsi="宋体" w:eastAsia="宋体" w:cs="宋体"/>
          <w:bCs/>
          <w:color w:val="auto"/>
          <w:kern w:val="0"/>
          <w:sz w:val="24"/>
          <w:szCs w:val="24"/>
          <w:highlight w:val="none"/>
          <w:lang w:bidi="ar"/>
        </w:rPr>
        <w:t>72小时内解决故障，故障若无法现场解决应立即</w:t>
      </w:r>
      <w:r>
        <w:rPr>
          <w:rFonts w:hint="eastAsia" w:ascii="宋体" w:hAnsi="宋体" w:eastAsia="宋体" w:cs="宋体"/>
          <w:color w:val="auto"/>
          <w:sz w:val="24"/>
          <w:szCs w:val="24"/>
          <w:highlight w:val="none"/>
          <w:lang w:bidi="ar"/>
        </w:rPr>
        <w:t>免费更换同样品牌、规格的产品</w:t>
      </w:r>
      <w:r>
        <w:rPr>
          <w:rFonts w:hint="eastAsia" w:ascii="宋体" w:hAnsi="宋体" w:eastAsia="宋体" w:cs="宋体"/>
          <w:color w:val="auto"/>
          <w:sz w:val="24"/>
          <w:szCs w:val="24"/>
          <w:highlight w:val="none"/>
          <w:lang w:val="zh-CN" w:bidi="ar"/>
        </w:rPr>
        <w:t>。</w:t>
      </w:r>
    </w:p>
    <w:p w14:paraId="54200932">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6.如果乙方在收到通知后，在合同所附服务承诺约定的时间内没有弥补缺陷，甲方可采取必要的补救措施，但风险和费用将由乙方承担。</w:t>
      </w:r>
    </w:p>
    <w:p w14:paraId="795CE8D5">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十三、安全问题</w:t>
      </w:r>
    </w:p>
    <w:p w14:paraId="7EED1D69">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货物供应、运输、装卸过程中的一切安全责任与风险由乙方承担。如因产品质量不合格、不环保、不坚固，以及一切自然损坏而造成的货物损坏和人身伤害事故（不包括不可抗力因素），由乙方承担全部责任。</w:t>
      </w:r>
    </w:p>
    <w:p w14:paraId="1CF0E1F9">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lang w:val="en-US" w:eastAsia="zh-CN"/>
        </w:rPr>
        <w:t xml:space="preserve"> </w:t>
      </w:r>
      <w:r>
        <w:rPr>
          <w:rFonts w:hint="eastAsia" w:ascii="宋体" w:hAnsi="宋体" w:eastAsia="宋体" w:cs="宋体"/>
          <w:color w:val="auto"/>
          <w:kern w:val="0"/>
          <w:sz w:val="24"/>
          <w:highlight w:val="none"/>
        </w:rPr>
        <w:t>2、乙方及乙方人员不得以甲方或使用方的指示作为减轻或不承担责任的理由；如指示存在安全风险，则乙方及乙方人员应拒绝执行并说明理由。</w:t>
      </w:r>
    </w:p>
    <w:p w14:paraId="58D801B3">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十四、不可抗力</w:t>
      </w:r>
    </w:p>
    <w:p w14:paraId="59131D3B">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1．如果乙方因不可抗力而导致合同实施延误或不能履行合同义务，将不承担误期赔偿或终止合同的责任。</w:t>
      </w:r>
    </w:p>
    <w:p w14:paraId="5220CDF5">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在不可抗力事件发生后，乙方应尽快以书面形式将不可抗力的情况和原因通知甲方及使用方。除甲方书面另行要求外，乙方应尽实际可能继续履行合同义务，以及寻求采取合理的方案履行不受不可抗力影响的其他事项。如果不可抗力事件影响时间持续20天以上时，甲方和乙方应通过友好协商在合理的时间内达成进一步履行合同的协议或终止协议，并将相关情况报响水县政府采购中心。</w:t>
      </w:r>
    </w:p>
    <w:p w14:paraId="31D88F50">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十五、纠纷解决</w:t>
      </w:r>
    </w:p>
    <w:p w14:paraId="03D39BE4">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 在履行本合同过程中所发生的或与本合同有关的一切争端，甲、乙双方应通过友好协商的办法进行解决。如协商仍不能解决，则双方均可向</w:t>
      </w:r>
      <w:r>
        <w:rPr>
          <w:rFonts w:hint="eastAsia" w:ascii="宋体" w:hAnsi="宋体" w:eastAsia="宋体" w:cs="宋体"/>
          <w:color w:val="auto"/>
          <w:kern w:val="0"/>
          <w:sz w:val="24"/>
          <w:szCs w:val="24"/>
          <w:highlight w:val="none"/>
          <w:lang w:val="en-US" w:eastAsia="zh-CN" w:bidi="ar"/>
        </w:rPr>
        <w:t>守约方所在地</w:t>
      </w:r>
      <w:r>
        <w:rPr>
          <w:rFonts w:hint="eastAsia" w:ascii="宋体" w:hAnsi="宋体" w:eastAsia="宋体" w:cs="宋体"/>
          <w:color w:val="auto"/>
          <w:kern w:val="0"/>
          <w:sz w:val="24"/>
          <w:szCs w:val="24"/>
          <w:highlight w:val="none"/>
          <w:lang w:bidi="ar"/>
        </w:rPr>
        <w:t>人民法院提请诉讼。</w:t>
      </w:r>
    </w:p>
    <w:p w14:paraId="1323456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 诉讼期间，本合同应继续履行。</w:t>
      </w:r>
    </w:p>
    <w:p w14:paraId="7C89FC2F">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十六、违约</w:t>
      </w:r>
      <w:r>
        <w:rPr>
          <w:rFonts w:hint="eastAsia" w:ascii="宋体" w:hAnsi="宋体" w:eastAsia="宋体" w:cs="宋体"/>
          <w:b/>
          <w:bCs/>
          <w:color w:val="auto"/>
          <w:kern w:val="0"/>
          <w:sz w:val="24"/>
          <w:szCs w:val="24"/>
          <w:highlight w:val="none"/>
          <w:lang w:val="en-US" w:eastAsia="zh-CN" w:bidi="ar"/>
        </w:rPr>
        <w:t>责任</w:t>
      </w:r>
    </w:p>
    <w:p w14:paraId="381B4CFD">
      <w:pPr>
        <w:keepNext w:val="0"/>
        <w:keepLines w:val="0"/>
        <w:pageBreakBefore w:val="0"/>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1、乙方逾期交货的，每逾期一天，应按相应逾期应交货设备货款金额的1‰（</w:t>
      </w:r>
      <w:r>
        <w:rPr>
          <w:rFonts w:hint="eastAsia" w:ascii="宋体" w:hAnsi="宋体" w:eastAsia="宋体" w:cs="宋体"/>
          <w:color w:val="auto"/>
          <w:kern w:val="0"/>
          <w:sz w:val="24"/>
          <w:szCs w:val="24"/>
          <w:highlight w:val="none"/>
          <w:lang w:val="en-US" w:eastAsia="zh-CN"/>
        </w:rPr>
        <w:t>千</w:t>
      </w:r>
      <w:r>
        <w:rPr>
          <w:rFonts w:hint="eastAsia" w:ascii="宋体" w:hAnsi="宋体" w:eastAsia="宋体" w:cs="宋体"/>
          <w:color w:val="auto"/>
          <w:kern w:val="0"/>
          <w:sz w:val="24"/>
          <w:szCs w:val="24"/>
          <w:highlight w:val="none"/>
        </w:rPr>
        <w:t>分之一）向甲方支付违约金，同时仍应履行交货义务。逾期超过15天的，甲方有权解除本合同，要求乙方退还甲方支付的全部货款，并按照合同总价款的20%向甲方支付违约金。违约金不足以赔偿甲方损失的，乙方还应赔偿甲方全部损失。</w:t>
      </w:r>
    </w:p>
    <w:p w14:paraId="125F1FFF">
      <w:pPr>
        <w:keepNext w:val="0"/>
        <w:keepLines w:val="0"/>
        <w:pageBreakBefore w:val="0"/>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2、甲方逾期付款的，每逾期一天，应按逾期金额的1‱（万分之一）向乙方支付违约金，同时仍应履行付款义务。</w:t>
      </w:r>
    </w:p>
    <w:p w14:paraId="4555C15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乙方在任何情况下都不得向甲方经办人提供任何形式的回扣，也不得向甲方提供任何假货、伪劣产品，一经查实，甲方可立即全面终止合同的执行，并没收质量保证金，同时提请有关部门追究有关当事人的责任。</w:t>
      </w:r>
    </w:p>
    <w:p w14:paraId="61A7FF8E">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十七、其他</w:t>
      </w:r>
    </w:p>
    <w:p w14:paraId="7D94E548">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乙方应考虑成交后运输期间对整个周边环境、设施、道路、绿化等的保护，并将有关费用全部考虑在投标报价中。供货期间如发生对环境、设施、道路、绿化等产生破坏，除采取措施恢复原状外，另处以损坏设施、道路、绿化等二倍的罚款，在整个货款中扣除。</w:t>
      </w:r>
    </w:p>
    <w:p w14:paraId="6C07934C">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2.甲方向乙方递送的各类通知均以乙方工商登记的地址及本项目的项目部为准，甲方在向上述地址投送通知后即视为已送达（拒收、查无此人、代收等情况均视为已送达）。</w:t>
      </w:r>
    </w:p>
    <w:p w14:paraId="0D401934">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3.合同双方可以就本合同主要内容以外的事项进行协商。</w:t>
      </w:r>
    </w:p>
    <w:p w14:paraId="47F29AB8">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4.本合同自双方签字盖章之日起生效。</w:t>
      </w:r>
    </w:p>
    <w:p w14:paraId="2759D0BB">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5.本合同若有未尽事宜，双方可协商解决。</w:t>
      </w:r>
    </w:p>
    <w:p w14:paraId="38B1E266">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lang w:bidi="ar"/>
        </w:rPr>
        <w:t>6.本合同一式伍份，甲、乙双方各执贰份，监管单位壹份。</w:t>
      </w:r>
    </w:p>
    <w:p w14:paraId="29599B49">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甲方（采购人）：（盖章）                乙方（供应商）：（盖章）</w:t>
      </w:r>
      <w:r>
        <w:rPr>
          <w:rFonts w:hint="eastAsia" w:ascii="宋体" w:hAnsi="宋体" w:eastAsia="宋体" w:cs="宋体"/>
          <w:color w:val="auto"/>
          <w:kern w:val="0"/>
          <w:sz w:val="24"/>
          <w:szCs w:val="24"/>
          <w:highlight w:val="none"/>
          <w:lang w:bidi="ar"/>
        </w:rPr>
        <w:tab/>
      </w:r>
    </w:p>
    <w:p w14:paraId="7EE7D8E3">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代表人 (签字) ：                        代表人 (签字) ：</w:t>
      </w:r>
      <w:r>
        <w:rPr>
          <w:rFonts w:hint="eastAsia" w:ascii="宋体" w:hAnsi="宋体" w:eastAsia="宋体" w:cs="宋体"/>
          <w:color w:val="auto"/>
          <w:kern w:val="0"/>
          <w:sz w:val="24"/>
          <w:szCs w:val="24"/>
          <w:highlight w:val="none"/>
          <w:lang w:bidi="ar"/>
        </w:rPr>
        <w:tab/>
      </w:r>
    </w:p>
    <w:p w14:paraId="1BE8EB0E">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 xml:space="preserve">电    话：                              电    话： </w:t>
      </w:r>
    </w:p>
    <w:p w14:paraId="4284CF0A">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 xml:space="preserve">开户银行：                              开户银行： </w:t>
      </w:r>
    </w:p>
    <w:p w14:paraId="0BFABDDE">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帐    号：                              帐    号：</w:t>
      </w:r>
      <w:r>
        <w:rPr>
          <w:rFonts w:hint="eastAsia" w:ascii="宋体" w:hAnsi="宋体" w:eastAsia="宋体" w:cs="宋体"/>
          <w:color w:val="auto"/>
          <w:kern w:val="0"/>
          <w:sz w:val="24"/>
          <w:szCs w:val="24"/>
          <w:highlight w:val="none"/>
          <w:lang w:bidi="ar"/>
        </w:rPr>
        <w:tab/>
      </w:r>
    </w:p>
    <w:p w14:paraId="27440E1C">
      <w:pPr>
        <w:keepNext w:val="0"/>
        <w:keepLines w:val="0"/>
        <w:pageBreakBefore w:val="0"/>
        <w:widowControl/>
        <w:tabs>
          <w:tab w:val="left" w:pos="900"/>
        </w:tabs>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 xml:space="preserve">日期：     年   月   日                 日期：     年   月   日      </w:t>
      </w:r>
    </w:p>
    <w:p w14:paraId="7115CF69">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第五章  投标文件格式</w:t>
      </w:r>
    </w:p>
    <w:p w14:paraId="55F4A6FC">
      <w:pPr>
        <w:jc w:val="center"/>
        <w:rPr>
          <w:rFonts w:hint="eastAsia" w:ascii="宋体" w:hAnsi="宋体" w:cs="宋体"/>
          <w:color w:val="auto"/>
          <w:highlight w:val="none"/>
        </w:rPr>
      </w:pPr>
    </w:p>
    <w:p w14:paraId="3FA16E59">
      <w:pPr>
        <w:spacing w:before="80" w:beforeLines="25" w:after="80" w:afterLines="25"/>
        <w:jc w:val="center"/>
        <w:outlineLvl w:val="1"/>
        <w:rPr>
          <w:rFonts w:hint="eastAsia" w:ascii="宋体" w:hAnsi="宋体" w:cs="宋体"/>
          <w:b/>
          <w:color w:val="auto"/>
          <w:sz w:val="28"/>
          <w:szCs w:val="28"/>
          <w:highlight w:val="none"/>
        </w:rPr>
      </w:pPr>
      <w:bookmarkStart w:id="139" w:name="_Toc17337"/>
      <w:bookmarkStart w:id="140" w:name="_Toc13447"/>
      <w:bookmarkStart w:id="141" w:name="_Toc15924"/>
      <w:bookmarkStart w:id="142" w:name="_Toc23629"/>
      <w:bookmarkStart w:id="143" w:name="_Toc29398"/>
      <w:bookmarkStart w:id="144" w:name="_Toc14633"/>
      <w:r>
        <w:rPr>
          <w:rFonts w:hint="eastAsia" w:ascii="宋体" w:hAnsi="宋体" w:cs="宋体"/>
          <w:b/>
          <w:color w:val="auto"/>
          <w:sz w:val="28"/>
          <w:szCs w:val="28"/>
          <w:highlight w:val="none"/>
        </w:rPr>
        <w:t>封面</w:t>
      </w:r>
      <w:bookmarkEnd w:id="139"/>
      <w:bookmarkEnd w:id="140"/>
      <w:bookmarkEnd w:id="141"/>
      <w:bookmarkEnd w:id="142"/>
      <w:bookmarkEnd w:id="143"/>
      <w:bookmarkEnd w:id="144"/>
    </w:p>
    <w:p w14:paraId="2808FD3A">
      <w:pPr>
        <w:pStyle w:val="40"/>
        <w:ind w:firstLine="0" w:firstLineChars="0"/>
        <w:rPr>
          <w:rFonts w:hint="eastAsia" w:ascii="宋体" w:hAnsi="宋体" w:cs="宋体"/>
          <w:color w:val="auto"/>
          <w:highlight w:val="none"/>
        </w:rPr>
      </w:pPr>
    </w:p>
    <w:p w14:paraId="3AD11029">
      <w:pPr>
        <w:snapToGrid w:val="0"/>
        <w:spacing w:line="360" w:lineRule="auto"/>
        <w:jc w:val="right"/>
        <w:rPr>
          <w:rFonts w:hint="eastAsia" w:ascii="宋体" w:hAnsi="宋体" w:cs="宋体"/>
          <w:color w:val="auto"/>
          <w:sz w:val="28"/>
          <w:szCs w:val="28"/>
          <w:highlight w:val="none"/>
        </w:rPr>
      </w:pPr>
      <w:r>
        <w:rPr>
          <w:rFonts w:hint="eastAsia" w:ascii="宋体" w:hAnsi="宋体" w:cs="宋体"/>
          <w:color w:val="auto"/>
          <w:sz w:val="36"/>
          <w:szCs w:val="36"/>
          <w:highlight w:val="none"/>
        </w:rPr>
        <w:t>（正、副）本</w:t>
      </w:r>
    </w:p>
    <w:p w14:paraId="1738E85F">
      <w:pPr>
        <w:pStyle w:val="40"/>
        <w:ind w:firstLine="0" w:firstLineChars="0"/>
        <w:rPr>
          <w:rFonts w:hint="eastAsia" w:ascii="宋体" w:hAnsi="宋体" w:cs="宋体"/>
          <w:color w:val="auto"/>
          <w:highlight w:val="none"/>
        </w:rPr>
      </w:pPr>
      <w:r>
        <w:rPr>
          <w:rFonts w:hint="eastAsia" w:ascii="宋体" w:hAnsi="宋体" w:cs="宋体"/>
          <w:b/>
          <w:bCs/>
          <w:color w:val="auto"/>
          <w:spacing w:val="15"/>
          <w:sz w:val="44"/>
          <w:szCs w:val="44"/>
          <w:highlight w:val="none"/>
          <w:u w:val="single"/>
        </w:rPr>
        <w:t xml:space="preserve">                         项目</w:t>
      </w:r>
    </w:p>
    <w:p w14:paraId="41B74D94">
      <w:pPr>
        <w:spacing w:line="360" w:lineRule="auto"/>
        <w:jc w:val="center"/>
        <w:rPr>
          <w:rFonts w:hint="eastAsia" w:ascii="宋体" w:hAnsi="宋体" w:cs="宋体"/>
          <w:color w:val="auto"/>
          <w:sz w:val="36"/>
          <w:szCs w:val="36"/>
          <w:highlight w:val="none"/>
        </w:rPr>
      </w:pPr>
    </w:p>
    <w:p w14:paraId="73C4A228">
      <w:pPr>
        <w:spacing w:line="360" w:lineRule="auto"/>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投标文件</w:t>
      </w:r>
    </w:p>
    <w:p w14:paraId="6844A4BD">
      <w:pPr>
        <w:spacing w:line="360" w:lineRule="auto"/>
        <w:jc w:val="center"/>
        <w:rPr>
          <w:rFonts w:hint="eastAsia" w:ascii="宋体" w:hAnsi="宋体" w:cs="宋体"/>
          <w:color w:val="auto"/>
          <w:sz w:val="36"/>
          <w:szCs w:val="36"/>
          <w:highlight w:val="none"/>
        </w:rPr>
      </w:pPr>
      <w:r>
        <w:rPr>
          <w:rFonts w:hint="eastAsia" w:ascii="宋体" w:hAnsi="宋体" w:cs="宋体"/>
          <w:color w:val="auto"/>
          <w:sz w:val="32"/>
          <w:szCs w:val="32"/>
          <w:highlight w:val="none"/>
        </w:rPr>
        <w:t>项目编号：</w:t>
      </w:r>
    </w:p>
    <w:p w14:paraId="01FD6B3E">
      <w:pPr>
        <w:rPr>
          <w:rFonts w:hint="eastAsia" w:ascii="宋体" w:hAnsi="宋体" w:cs="宋体"/>
          <w:color w:val="auto"/>
          <w:sz w:val="28"/>
          <w:szCs w:val="28"/>
          <w:highlight w:val="none"/>
        </w:rPr>
      </w:pPr>
    </w:p>
    <w:p w14:paraId="46CC5142">
      <w:pPr>
        <w:rPr>
          <w:rFonts w:hint="eastAsia" w:ascii="宋体" w:hAnsi="宋体" w:cs="宋体"/>
          <w:b/>
          <w:color w:val="auto"/>
          <w:sz w:val="28"/>
          <w:szCs w:val="28"/>
          <w:highlight w:val="none"/>
        </w:rPr>
      </w:pPr>
    </w:p>
    <w:p w14:paraId="5C1AD8CB">
      <w:pPr>
        <w:pStyle w:val="41"/>
        <w:rPr>
          <w:rFonts w:hint="eastAsia" w:eastAsia="宋体"/>
          <w:b/>
          <w:color w:val="auto"/>
          <w:sz w:val="28"/>
          <w:szCs w:val="28"/>
          <w:highlight w:val="none"/>
        </w:rPr>
      </w:pPr>
    </w:p>
    <w:p w14:paraId="38DE4A95">
      <w:pPr>
        <w:pStyle w:val="41"/>
        <w:rPr>
          <w:rFonts w:hint="eastAsia" w:eastAsia="宋体"/>
          <w:b/>
          <w:color w:val="auto"/>
          <w:sz w:val="28"/>
          <w:szCs w:val="28"/>
          <w:highlight w:val="none"/>
        </w:rPr>
      </w:pPr>
    </w:p>
    <w:p w14:paraId="2D95440D">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投标人：</w:t>
      </w:r>
      <w:r>
        <w:rPr>
          <w:rFonts w:hint="eastAsia" w:ascii="宋体" w:hAnsi="宋体" w:cs="宋体"/>
          <w:color w:val="auto"/>
          <w:sz w:val="30"/>
          <w:szCs w:val="30"/>
          <w:highlight w:val="none"/>
          <w:u w:val="single"/>
        </w:rPr>
        <w:t xml:space="preserve">              </w:t>
      </w:r>
      <w:r>
        <w:rPr>
          <w:rFonts w:ascii="宋体" w:hAnsi="宋体" w:cs="宋体"/>
          <w:color w:val="auto"/>
          <w:sz w:val="30"/>
          <w:szCs w:val="30"/>
          <w:highlight w:val="none"/>
          <w:u w:val="single"/>
        </w:rPr>
        <w:t xml:space="preserve"> </w:t>
      </w:r>
      <w:r>
        <w:rPr>
          <w:rFonts w:hint="eastAsia" w:ascii="宋体" w:hAnsi="宋体" w:cs="宋体"/>
          <w:color w:val="auto"/>
          <w:sz w:val="30"/>
          <w:szCs w:val="30"/>
          <w:highlight w:val="none"/>
          <w:u w:val="single"/>
        </w:rPr>
        <w:t xml:space="preserve">         （盖章）</w:t>
      </w:r>
    </w:p>
    <w:p w14:paraId="7621A128">
      <w:pPr>
        <w:pStyle w:val="8"/>
        <w:spacing w:line="360" w:lineRule="auto"/>
        <w:rPr>
          <w:rFonts w:hint="eastAsia" w:ascii="宋体" w:hAnsi="宋体" w:eastAsia="宋体" w:cs="宋体"/>
          <w:color w:val="auto"/>
          <w:kern w:val="2"/>
          <w:position w:val="0"/>
          <w:szCs w:val="30"/>
          <w:highlight w:val="none"/>
        </w:rPr>
      </w:pPr>
    </w:p>
    <w:p w14:paraId="38F877D6">
      <w:pPr>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法定代表人或授权委托人：</w:t>
      </w:r>
      <w:r>
        <w:rPr>
          <w:rFonts w:hint="eastAsia" w:ascii="宋体" w:hAnsi="宋体" w:cs="宋体"/>
          <w:color w:val="auto"/>
          <w:sz w:val="30"/>
          <w:szCs w:val="30"/>
          <w:highlight w:val="none"/>
          <w:u w:val="single"/>
        </w:rPr>
        <w:t xml:space="preserve">    </w:t>
      </w:r>
      <w:r>
        <w:rPr>
          <w:rFonts w:ascii="宋体" w:hAnsi="宋体" w:cs="宋体"/>
          <w:color w:val="auto"/>
          <w:sz w:val="30"/>
          <w:szCs w:val="30"/>
          <w:highlight w:val="none"/>
          <w:u w:val="single"/>
        </w:rPr>
        <w:t xml:space="preserve">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（签字或盖章）</w:t>
      </w:r>
    </w:p>
    <w:p w14:paraId="7A183AB9">
      <w:pPr>
        <w:rPr>
          <w:rFonts w:hint="eastAsia" w:ascii="宋体" w:hAnsi="宋体" w:cs="宋体"/>
          <w:color w:val="auto"/>
          <w:sz w:val="30"/>
          <w:szCs w:val="30"/>
          <w:highlight w:val="none"/>
          <w:u w:val="single"/>
        </w:rPr>
      </w:pPr>
    </w:p>
    <w:p w14:paraId="0335232F">
      <w:pPr>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日    期：</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年</w:t>
      </w:r>
      <w:r>
        <w:rPr>
          <w:rFonts w:hint="eastAsia" w:ascii="宋体" w:hAnsi="宋体" w:cs="宋体"/>
          <w:color w:val="auto"/>
          <w:sz w:val="30"/>
          <w:szCs w:val="30"/>
          <w:highlight w:val="none"/>
          <w:u w:val="single"/>
        </w:rPr>
        <w:t xml:space="preserve">  </w:t>
      </w:r>
      <w:r>
        <w:rPr>
          <w:rFonts w:ascii="宋体" w:hAnsi="宋体" w:cs="宋体"/>
          <w:color w:val="auto"/>
          <w:sz w:val="30"/>
          <w:szCs w:val="30"/>
          <w:highlight w:val="none"/>
          <w:u w:val="single"/>
        </w:rPr>
        <w:t xml:space="preserve">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月</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日</w:t>
      </w:r>
    </w:p>
    <w:p w14:paraId="78FD258C">
      <w:pPr>
        <w:spacing w:line="440" w:lineRule="exact"/>
        <w:jc w:val="center"/>
        <w:outlineLvl w:val="0"/>
        <w:rPr>
          <w:rFonts w:hint="eastAsia" w:ascii="宋体" w:hAnsi="宋体" w:cs="宋体"/>
          <w:b/>
          <w:color w:val="auto"/>
          <w:sz w:val="30"/>
          <w:szCs w:val="30"/>
          <w:highlight w:val="none"/>
        </w:rPr>
      </w:pPr>
      <w:r>
        <w:rPr>
          <w:rFonts w:hint="eastAsia" w:ascii="宋体" w:hAnsi="宋体" w:cs="宋体"/>
          <w:color w:val="auto"/>
          <w:sz w:val="28"/>
          <w:szCs w:val="28"/>
          <w:highlight w:val="none"/>
        </w:rPr>
        <w:br w:type="page"/>
      </w:r>
      <w:bookmarkStart w:id="145" w:name="_Toc2252"/>
      <w:bookmarkStart w:id="146" w:name="_Toc24624"/>
      <w:r>
        <w:rPr>
          <w:rFonts w:hint="eastAsia" w:ascii="宋体" w:hAnsi="宋体" w:cs="宋体"/>
          <w:color w:val="auto"/>
          <w:sz w:val="28"/>
          <w:szCs w:val="28"/>
          <w:highlight w:val="none"/>
        </w:rPr>
        <w:t xml:space="preserve">   </w:t>
      </w:r>
      <w:bookmarkStart w:id="147" w:name="_Toc16871"/>
      <w:bookmarkStart w:id="148" w:name="_Toc6243"/>
      <w:bookmarkStart w:id="149" w:name="_Toc21505"/>
      <w:r>
        <w:rPr>
          <w:rFonts w:hint="eastAsia" w:ascii="宋体" w:hAnsi="宋体"/>
          <w:b/>
          <w:bCs/>
          <w:color w:val="auto"/>
          <w:sz w:val="28"/>
          <w:szCs w:val="28"/>
          <w:highlight w:val="none"/>
        </w:rPr>
        <w:t>评分索引表</w:t>
      </w:r>
      <w:bookmarkEnd w:id="147"/>
      <w:r>
        <w:rPr>
          <w:rFonts w:hint="eastAsia" w:ascii="宋体" w:hAnsi="宋体"/>
          <w:b/>
          <w:bCs/>
          <w:color w:val="auto"/>
          <w:sz w:val="28"/>
          <w:szCs w:val="28"/>
          <w:highlight w:val="none"/>
        </w:rPr>
        <w:t>（格式自拟</w:t>
      </w:r>
      <w:r>
        <w:rPr>
          <w:rFonts w:hint="eastAsia" w:ascii="宋体" w:hAnsi="宋体" w:cs="宋体"/>
          <w:b/>
          <w:color w:val="auto"/>
          <w:sz w:val="30"/>
          <w:szCs w:val="30"/>
          <w:highlight w:val="none"/>
        </w:rPr>
        <w:t>）</w:t>
      </w:r>
      <w:bookmarkEnd w:id="148"/>
      <w:bookmarkEnd w:id="149"/>
    </w:p>
    <w:p w14:paraId="4404CEC7">
      <w:pPr>
        <w:spacing w:line="440" w:lineRule="exact"/>
        <w:jc w:val="center"/>
        <w:rPr>
          <w:rFonts w:hint="eastAsia" w:ascii="宋体" w:hAnsi="宋体" w:cs="宋体"/>
          <w:b/>
          <w:color w:val="auto"/>
          <w:sz w:val="30"/>
          <w:szCs w:val="30"/>
          <w:highlight w:val="none"/>
        </w:rPr>
      </w:pPr>
    </w:p>
    <w:tbl>
      <w:tblPr>
        <w:tblStyle w:val="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3"/>
        <w:gridCol w:w="5179"/>
      </w:tblGrid>
      <w:tr w14:paraId="26865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713" w:type="dxa"/>
            <w:vAlign w:val="center"/>
          </w:tcPr>
          <w:p w14:paraId="2826546F">
            <w:pPr>
              <w:pStyle w:val="40"/>
              <w:shd w:val="clear" w:color="auto" w:fill="FFFFFF"/>
              <w:spacing w:line="265" w:lineRule="atLeast"/>
              <w:ind w:left="420" w:firstLine="0" w:firstLineChars="0"/>
              <w:jc w:val="center"/>
              <w:rPr>
                <w:rFonts w:hint="eastAsia" w:ascii="宋体" w:hAnsi="宋体" w:cs="宋体"/>
                <w:b/>
                <w:bCs/>
                <w:color w:val="auto"/>
                <w:highlight w:val="none"/>
              </w:rPr>
            </w:pPr>
            <w:r>
              <w:rPr>
                <w:rFonts w:hint="eastAsia" w:ascii="宋体" w:hAnsi="宋体" w:cs="宋体"/>
                <w:b/>
                <w:color w:val="auto"/>
                <w:highlight w:val="none"/>
              </w:rPr>
              <w:t>评分项目</w:t>
            </w:r>
          </w:p>
        </w:tc>
        <w:tc>
          <w:tcPr>
            <w:tcW w:w="5179" w:type="dxa"/>
            <w:vAlign w:val="center"/>
          </w:tcPr>
          <w:p w14:paraId="386554F6">
            <w:pPr>
              <w:jc w:val="center"/>
              <w:rPr>
                <w:rFonts w:hint="eastAsia" w:ascii="宋体" w:hAnsi="宋体" w:cs="宋体"/>
                <w:b/>
                <w:color w:val="auto"/>
                <w:highlight w:val="none"/>
              </w:rPr>
            </w:pPr>
            <w:r>
              <w:rPr>
                <w:rFonts w:hint="eastAsia" w:ascii="宋体" w:hAnsi="宋体" w:cs="宋体"/>
                <w:b/>
                <w:color w:val="auto"/>
                <w:kern w:val="0"/>
                <w:sz w:val="24"/>
                <w:highlight w:val="none"/>
                <w:lang w:bidi="en-US"/>
              </w:rPr>
              <w:t>在投标文件中的页码位置</w:t>
            </w:r>
          </w:p>
        </w:tc>
      </w:tr>
      <w:tr w14:paraId="0B68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713" w:type="dxa"/>
          </w:tcPr>
          <w:p w14:paraId="6FF4E4C1">
            <w:pPr>
              <w:pStyle w:val="40"/>
              <w:shd w:val="clear" w:color="auto" w:fill="FFFFFF"/>
              <w:spacing w:line="265" w:lineRule="atLeast"/>
              <w:ind w:left="420" w:firstLine="0" w:firstLineChars="0"/>
              <w:rPr>
                <w:rFonts w:hint="eastAsia" w:ascii="宋体" w:hAnsi="宋体" w:cs="宋体"/>
                <w:b/>
                <w:color w:val="auto"/>
                <w:highlight w:val="none"/>
              </w:rPr>
            </w:pPr>
          </w:p>
        </w:tc>
        <w:tc>
          <w:tcPr>
            <w:tcW w:w="5179" w:type="dxa"/>
          </w:tcPr>
          <w:p w14:paraId="1BD6FABA">
            <w:pPr>
              <w:rPr>
                <w:rFonts w:hint="eastAsia" w:ascii="宋体" w:hAnsi="宋体" w:cs="宋体"/>
                <w:b/>
                <w:color w:val="auto"/>
                <w:kern w:val="0"/>
                <w:sz w:val="24"/>
                <w:highlight w:val="none"/>
                <w:lang w:bidi="en-US"/>
              </w:rPr>
            </w:pPr>
          </w:p>
        </w:tc>
      </w:tr>
      <w:tr w14:paraId="45B3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892" w:type="dxa"/>
            <w:gridSpan w:val="2"/>
          </w:tcPr>
          <w:p w14:paraId="79802C3E">
            <w:pPr>
              <w:pStyle w:val="40"/>
              <w:shd w:val="clear" w:color="auto" w:fill="FFFFFF"/>
              <w:spacing w:line="265" w:lineRule="atLeast"/>
              <w:ind w:left="420" w:firstLine="0" w:firstLineChars="0"/>
              <w:rPr>
                <w:rFonts w:hint="eastAsia" w:ascii="宋体" w:hAnsi="宋体" w:cs="宋体"/>
                <w:color w:val="auto"/>
                <w:highlight w:val="none"/>
              </w:rPr>
            </w:pPr>
          </w:p>
        </w:tc>
      </w:tr>
      <w:tr w14:paraId="051D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713" w:type="dxa"/>
          </w:tcPr>
          <w:p w14:paraId="65E97405">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7A869EA8">
            <w:pPr>
              <w:rPr>
                <w:rFonts w:hint="eastAsia" w:ascii="宋体" w:hAnsi="宋体" w:cs="宋体"/>
                <w:color w:val="auto"/>
                <w:highlight w:val="none"/>
              </w:rPr>
            </w:pPr>
          </w:p>
        </w:tc>
      </w:tr>
      <w:tr w14:paraId="0B898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713" w:type="dxa"/>
          </w:tcPr>
          <w:p w14:paraId="25434DB4">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698046DD">
            <w:pPr>
              <w:rPr>
                <w:rFonts w:hint="eastAsia" w:ascii="宋体" w:hAnsi="宋体" w:cs="宋体"/>
                <w:color w:val="auto"/>
                <w:highlight w:val="none"/>
              </w:rPr>
            </w:pPr>
          </w:p>
        </w:tc>
      </w:tr>
      <w:tr w14:paraId="6AF9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713" w:type="dxa"/>
          </w:tcPr>
          <w:p w14:paraId="6F026CB5">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0D675756">
            <w:pPr>
              <w:rPr>
                <w:rFonts w:hint="eastAsia" w:ascii="宋体" w:hAnsi="宋体" w:cs="宋体"/>
                <w:color w:val="auto"/>
                <w:highlight w:val="none"/>
              </w:rPr>
            </w:pPr>
          </w:p>
        </w:tc>
      </w:tr>
      <w:tr w14:paraId="615F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713" w:type="dxa"/>
          </w:tcPr>
          <w:p w14:paraId="7793C22E">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42504107">
            <w:pPr>
              <w:rPr>
                <w:rFonts w:hint="eastAsia" w:ascii="宋体" w:hAnsi="宋体" w:cs="宋体"/>
                <w:color w:val="auto"/>
                <w:highlight w:val="none"/>
              </w:rPr>
            </w:pPr>
          </w:p>
        </w:tc>
      </w:tr>
      <w:tr w14:paraId="3362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713" w:type="dxa"/>
          </w:tcPr>
          <w:p w14:paraId="7E337097">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1E4FFE01">
            <w:pPr>
              <w:rPr>
                <w:rFonts w:hint="eastAsia" w:ascii="宋体" w:hAnsi="宋体" w:cs="宋体"/>
                <w:color w:val="auto"/>
                <w:highlight w:val="none"/>
              </w:rPr>
            </w:pPr>
          </w:p>
        </w:tc>
      </w:tr>
      <w:tr w14:paraId="3E18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892" w:type="dxa"/>
            <w:gridSpan w:val="2"/>
          </w:tcPr>
          <w:p w14:paraId="1A83E441">
            <w:pPr>
              <w:pStyle w:val="40"/>
              <w:shd w:val="clear" w:color="auto" w:fill="FFFFFF"/>
              <w:spacing w:line="265" w:lineRule="atLeast"/>
              <w:ind w:left="420" w:firstLine="0" w:firstLineChars="0"/>
              <w:rPr>
                <w:rFonts w:hint="eastAsia" w:ascii="宋体" w:hAnsi="宋体" w:cs="宋体"/>
                <w:color w:val="auto"/>
                <w:highlight w:val="none"/>
              </w:rPr>
            </w:pPr>
          </w:p>
        </w:tc>
      </w:tr>
      <w:tr w14:paraId="7CF3C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713" w:type="dxa"/>
          </w:tcPr>
          <w:p w14:paraId="27015FE1">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1DB48882">
            <w:pPr>
              <w:rPr>
                <w:rFonts w:hint="eastAsia" w:ascii="宋体" w:hAnsi="宋体" w:cs="宋体"/>
                <w:color w:val="auto"/>
                <w:highlight w:val="none"/>
              </w:rPr>
            </w:pPr>
          </w:p>
        </w:tc>
      </w:tr>
      <w:tr w14:paraId="1E7B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3713" w:type="dxa"/>
          </w:tcPr>
          <w:p w14:paraId="12765F46">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28C099F8">
            <w:pPr>
              <w:rPr>
                <w:rFonts w:hint="eastAsia" w:ascii="宋体" w:hAnsi="宋体" w:cs="宋体"/>
                <w:color w:val="auto"/>
                <w:highlight w:val="none"/>
              </w:rPr>
            </w:pPr>
          </w:p>
        </w:tc>
      </w:tr>
      <w:tr w14:paraId="5853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713" w:type="dxa"/>
          </w:tcPr>
          <w:p w14:paraId="53472A79">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749395B4">
            <w:pPr>
              <w:rPr>
                <w:rFonts w:hint="eastAsia" w:ascii="宋体" w:hAnsi="宋体" w:cs="宋体"/>
                <w:color w:val="auto"/>
                <w:highlight w:val="none"/>
              </w:rPr>
            </w:pPr>
          </w:p>
        </w:tc>
      </w:tr>
      <w:tr w14:paraId="16717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713" w:type="dxa"/>
          </w:tcPr>
          <w:p w14:paraId="5CA52282">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66E6C23E">
            <w:pPr>
              <w:rPr>
                <w:rFonts w:hint="eastAsia" w:ascii="宋体" w:hAnsi="宋体" w:cs="宋体"/>
                <w:color w:val="auto"/>
                <w:highlight w:val="none"/>
              </w:rPr>
            </w:pPr>
          </w:p>
        </w:tc>
      </w:tr>
      <w:tr w14:paraId="6D274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713" w:type="dxa"/>
          </w:tcPr>
          <w:p w14:paraId="79131450">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1B944E29">
            <w:pPr>
              <w:rPr>
                <w:rFonts w:hint="eastAsia" w:ascii="宋体" w:hAnsi="宋体" w:cs="宋体"/>
                <w:color w:val="auto"/>
                <w:highlight w:val="none"/>
              </w:rPr>
            </w:pPr>
          </w:p>
        </w:tc>
      </w:tr>
      <w:tr w14:paraId="5F86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892" w:type="dxa"/>
            <w:gridSpan w:val="2"/>
          </w:tcPr>
          <w:p w14:paraId="79F4686A">
            <w:pPr>
              <w:pStyle w:val="40"/>
              <w:shd w:val="clear" w:color="auto" w:fill="FFFFFF"/>
              <w:spacing w:line="265" w:lineRule="atLeast"/>
              <w:ind w:left="420" w:firstLine="0" w:firstLineChars="0"/>
              <w:rPr>
                <w:rFonts w:hint="eastAsia" w:ascii="宋体" w:hAnsi="宋体" w:cs="宋体"/>
                <w:b/>
                <w:color w:val="auto"/>
                <w:highlight w:val="none"/>
              </w:rPr>
            </w:pPr>
          </w:p>
        </w:tc>
      </w:tr>
      <w:tr w14:paraId="0E9A0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713" w:type="dxa"/>
          </w:tcPr>
          <w:p w14:paraId="392DF619">
            <w:pPr>
              <w:pStyle w:val="40"/>
              <w:shd w:val="clear" w:color="auto" w:fill="FFFFFF"/>
              <w:spacing w:line="265" w:lineRule="atLeast"/>
              <w:ind w:left="420" w:firstLine="0" w:firstLineChars="0"/>
              <w:rPr>
                <w:rFonts w:hint="eastAsia" w:ascii="宋体" w:hAnsi="宋体" w:cs="宋体"/>
                <w:b/>
                <w:bCs/>
                <w:color w:val="auto"/>
                <w:highlight w:val="none"/>
              </w:rPr>
            </w:pPr>
          </w:p>
        </w:tc>
        <w:tc>
          <w:tcPr>
            <w:tcW w:w="5179" w:type="dxa"/>
          </w:tcPr>
          <w:p w14:paraId="43516932">
            <w:pPr>
              <w:rPr>
                <w:rFonts w:hint="eastAsia" w:ascii="宋体" w:hAnsi="宋体" w:cs="宋体"/>
                <w:color w:val="auto"/>
                <w:highlight w:val="none"/>
              </w:rPr>
            </w:pPr>
          </w:p>
        </w:tc>
      </w:tr>
      <w:tr w14:paraId="73E4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713" w:type="dxa"/>
          </w:tcPr>
          <w:p w14:paraId="55016C59">
            <w:pPr>
              <w:pStyle w:val="40"/>
              <w:shd w:val="clear" w:color="auto" w:fill="FFFFFF"/>
              <w:spacing w:line="265" w:lineRule="atLeast"/>
              <w:ind w:left="420" w:firstLine="0" w:firstLineChars="0"/>
              <w:rPr>
                <w:rFonts w:hint="eastAsia" w:ascii="宋体" w:hAnsi="宋体" w:cs="宋体"/>
                <w:color w:val="auto"/>
                <w:highlight w:val="none"/>
              </w:rPr>
            </w:pPr>
          </w:p>
        </w:tc>
        <w:tc>
          <w:tcPr>
            <w:tcW w:w="5179" w:type="dxa"/>
          </w:tcPr>
          <w:p w14:paraId="4739D150">
            <w:pPr>
              <w:rPr>
                <w:rFonts w:hint="eastAsia" w:ascii="宋体" w:hAnsi="宋体" w:cs="宋体"/>
                <w:color w:val="auto"/>
                <w:highlight w:val="none"/>
              </w:rPr>
            </w:pPr>
          </w:p>
        </w:tc>
      </w:tr>
      <w:tr w14:paraId="541E0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713" w:type="dxa"/>
          </w:tcPr>
          <w:p w14:paraId="24B0BDB3">
            <w:pPr>
              <w:pStyle w:val="40"/>
              <w:shd w:val="clear" w:color="auto" w:fill="FFFFFF"/>
              <w:spacing w:line="265" w:lineRule="atLeast"/>
              <w:ind w:left="420" w:firstLine="0" w:firstLineChars="0"/>
              <w:rPr>
                <w:rFonts w:hint="eastAsia" w:ascii="宋体" w:hAnsi="宋体" w:cs="宋体"/>
                <w:b/>
                <w:bCs/>
                <w:color w:val="auto"/>
                <w:highlight w:val="none"/>
              </w:rPr>
            </w:pPr>
          </w:p>
        </w:tc>
        <w:tc>
          <w:tcPr>
            <w:tcW w:w="5179" w:type="dxa"/>
          </w:tcPr>
          <w:p w14:paraId="4D672700">
            <w:pPr>
              <w:rPr>
                <w:rFonts w:hint="eastAsia" w:ascii="宋体" w:hAnsi="宋体" w:cs="宋体"/>
                <w:color w:val="auto"/>
                <w:highlight w:val="none"/>
              </w:rPr>
            </w:pPr>
          </w:p>
        </w:tc>
      </w:tr>
      <w:tr w14:paraId="7F0C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892" w:type="dxa"/>
            <w:gridSpan w:val="2"/>
          </w:tcPr>
          <w:p w14:paraId="62F5B700">
            <w:pPr>
              <w:pStyle w:val="40"/>
              <w:shd w:val="clear" w:color="auto" w:fill="FFFFFF"/>
              <w:spacing w:line="265" w:lineRule="atLeast"/>
              <w:ind w:left="420" w:firstLine="0" w:firstLineChars="0"/>
              <w:rPr>
                <w:rFonts w:hint="eastAsia" w:ascii="宋体" w:hAnsi="宋体" w:cs="宋体"/>
                <w:b/>
                <w:color w:val="auto"/>
                <w:highlight w:val="none"/>
              </w:rPr>
            </w:pPr>
          </w:p>
        </w:tc>
      </w:tr>
      <w:tr w14:paraId="7AE5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713" w:type="dxa"/>
          </w:tcPr>
          <w:p w14:paraId="3476DE65">
            <w:pPr>
              <w:pStyle w:val="40"/>
              <w:shd w:val="clear" w:color="auto" w:fill="FFFFFF"/>
              <w:spacing w:line="265" w:lineRule="atLeast"/>
              <w:ind w:firstLine="0" w:firstLineChars="0"/>
              <w:rPr>
                <w:rFonts w:hint="eastAsia" w:ascii="宋体" w:hAnsi="宋体" w:cs="宋体"/>
                <w:color w:val="auto"/>
                <w:szCs w:val="21"/>
                <w:highlight w:val="none"/>
              </w:rPr>
            </w:pPr>
          </w:p>
        </w:tc>
        <w:tc>
          <w:tcPr>
            <w:tcW w:w="5179" w:type="dxa"/>
          </w:tcPr>
          <w:p w14:paraId="3D9D9840">
            <w:pPr>
              <w:rPr>
                <w:rFonts w:hint="eastAsia" w:ascii="宋体" w:hAnsi="宋体" w:cs="宋体"/>
                <w:color w:val="auto"/>
                <w:highlight w:val="none"/>
              </w:rPr>
            </w:pPr>
          </w:p>
        </w:tc>
      </w:tr>
      <w:tr w14:paraId="0DF93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713" w:type="dxa"/>
            <w:tcBorders>
              <w:bottom w:val="single" w:color="auto" w:sz="4" w:space="0"/>
            </w:tcBorders>
          </w:tcPr>
          <w:p w14:paraId="0345DF87">
            <w:pPr>
              <w:pStyle w:val="40"/>
              <w:shd w:val="clear" w:color="auto" w:fill="FFFFFF"/>
              <w:spacing w:line="265" w:lineRule="atLeast"/>
              <w:ind w:firstLine="0" w:firstLineChars="0"/>
              <w:rPr>
                <w:rFonts w:hint="eastAsia" w:ascii="宋体" w:hAnsi="宋体" w:cs="宋体"/>
                <w:color w:val="auto"/>
                <w:highlight w:val="none"/>
              </w:rPr>
            </w:pPr>
          </w:p>
        </w:tc>
        <w:tc>
          <w:tcPr>
            <w:tcW w:w="5179" w:type="dxa"/>
            <w:tcBorders>
              <w:bottom w:val="single" w:color="auto" w:sz="4" w:space="0"/>
            </w:tcBorders>
          </w:tcPr>
          <w:p w14:paraId="6A31E407">
            <w:pPr>
              <w:rPr>
                <w:rFonts w:hint="eastAsia" w:ascii="宋体" w:hAnsi="宋体" w:cs="宋体"/>
                <w:color w:val="auto"/>
                <w:highlight w:val="none"/>
              </w:rPr>
            </w:pPr>
          </w:p>
        </w:tc>
      </w:tr>
    </w:tbl>
    <w:p w14:paraId="726990FA">
      <w:pPr>
        <w:widowControl/>
        <w:tabs>
          <w:tab w:val="left" w:pos="900"/>
        </w:tabs>
        <w:spacing w:line="440" w:lineRule="exact"/>
        <w:rPr>
          <w:rFonts w:hint="eastAsia" w:ascii="宋体" w:hAnsi="宋体" w:cs="宋体"/>
          <w:color w:val="auto"/>
          <w:sz w:val="24"/>
          <w:highlight w:val="none"/>
        </w:rPr>
      </w:pPr>
    </w:p>
    <w:p w14:paraId="327D5230">
      <w:pPr>
        <w:widowControl/>
        <w:tabs>
          <w:tab w:val="left" w:pos="900"/>
        </w:tabs>
        <w:spacing w:line="440" w:lineRule="exact"/>
        <w:ind w:left="420" w:leftChars="200"/>
        <w:rPr>
          <w:rFonts w:hint="eastAsia" w:ascii="宋体" w:hAnsi="宋体" w:cs="宋体"/>
          <w:color w:val="auto"/>
          <w:sz w:val="24"/>
          <w:highlight w:val="none"/>
        </w:rPr>
      </w:pPr>
    </w:p>
    <w:p w14:paraId="7982099F">
      <w:pPr>
        <w:widowControl/>
        <w:tabs>
          <w:tab w:val="left" w:pos="900"/>
        </w:tabs>
        <w:spacing w:line="440" w:lineRule="exact"/>
        <w:ind w:left="420" w:leftChars="200"/>
        <w:rPr>
          <w:rFonts w:hint="eastAsia" w:ascii="宋体" w:hAnsi="宋体" w:cs="宋体"/>
          <w:color w:val="auto"/>
          <w:sz w:val="24"/>
          <w:highlight w:val="none"/>
        </w:rPr>
      </w:pPr>
    </w:p>
    <w:p w14:paraId="4409CE73">
      <w:pPr>
        <w:widowControl/>
        <w:tabs>
          <w:tab w:val="left" w:pos="900"/>
        </w:tabs>
        <w:spacing w:line="440" w:lineRule="exact"/>
        <w:ind w:left="420" w:leftChars="200"/>
        <w:rPr>
          <w:rFonts w:hint="eastAsia" w:ascii="宋体" w:hAnsi="宋体" w:cs="宋体"/>
          <w:color w:val="auto"/>
          <w:sz w:val="24"/>
          <w:highlight w:val="none"/>
        </w:rPr>
      </w:pPr>
    </w:p>
    <w:p w14:paraId="77E11C52">
      <w:pPr>
        <w:widowControl/>
        <w:tabs>
          <w:tab w:val="left" w:pos="900"/>
        </w:tabs>
        <w:spacing w:line="440" w:lineRule="exact"/>
        <w:ind w:left="420" w:leftChars="200"/>
        <w:rPr>
          <w:rFonts w:hint="eastAsia" w:ascii="宋体" w:hAnsi="宋体" w:cs="宋体"/>
          <w:color w:val="auto"/>
          <w:sz w:val="24"/>
          <w:highlight w:val="none"/>
        </w:rPr>
      </w:pPr>
    </w:p>
    <w:p w14:paraId="1FCBCFD3">
      <w:pPr>
        <w:widowControl/>
        <w:tabs>
          <w:tab w:val="left" w:pos="900"/>
        </w:tabs>
        <w:spacing w:line="440" w:lineRule="exact"/>
        <w:ind w:left="420" w:leftChars="200"/>
        <w:rPr>
          <w:rFonts w:hint="eastAsia" w:ascii="宋体" w:hAnsi="宋体" w:cs="宋体"/>
          <w:color w:val="auto"/>
          <w:sz w:val="24"/>
          <w:highlight w:val="none"/>
        </w:rPr>
      </w:pPr>
    </w:p>
    <w:p w14:paraId="3EB9DE2C">
      <w:pPr>
        <w:widowControl/>
        <w:tabs>
          <w:tab w:val="left" w:pos="900"/>
        </w:tabs>
        <w:spacing w:line="440" w:lineRule="exact"/>
        <w:ind w:left="420" w:leftChars="200"/>
        <w:rPr>
          <w:rFonts w:hint="eastAsia" w:ascii="宋体" w:hAnsi="宋体" w:cs="宋体"/>
          <w:color w:val="auto"/>
          <w:sz w:val="24"/>
          <w:highlight w:val="none"/>
        </w:rPr>
      </w:pPr>
    </w:p>
    <w:p w14:paraId="45F1D1E9">
      <w:pPr>
        <w:widowControl/>
        <w:tabs>
          <w:tab w:val="left" w:pos="900"/>
        </w:tabs>
        <w:spacing w:line="440" w:lineRule="exact"/>
        <w:ind w:left="420" w:leftChars="200"/>
        <w:rPr>
          <w:rFonts w:hint="eastAsia" w:ascii="宋体" w:hAnsi="宋体" w:cs="宋体"/>
          <w:color w:val="auto"/>
          <w:sz w:val="24"/>
          <w:highlight w:val="none"/>
        </w:rPr>
      </w:pPr>
    </w:p>
    <w:p w14:paraId="336D3C41">
      <w:pPr>
        <w:widowControl/>
        <w:tabs>
          <w:tab w:val="left" w:pos="900"/>
        </w:tabs>
        <w:spacing w:line="440" w:lineRule="exact"/>
        <w:rPr>
          <w:rFonts w:hint="eastAsia" w:ascii="宋体" w:hAnsi="宋体" w:cs="宋体"/>
          <w:color w:val="auto"/>
          <w:sz w:val="24"/>
          <w:highlight w:val="none"/>
        </w:rPr>
      </w:pPr>
    </w:p>
    <w:p w14:paraId="624B5273">
      <w:pPr>
        <w:pStyle w:val="41"/>
        <w:rPr>
          <w:rFonts w:hint="eastAsia" w:eastAsia="宋体"/>
          <w:color w:val="auto"/>
          <w:highlight w:val="none"/>
        </w:rPr>
      </w:pPr>
    </w:p>
    <w:p w14:paraId="3583C7DF">
      <w:pPr>
        <w:pStyle w:val="41"/>
        <w:rPr>
          <w:rFonts w:hint="eastAsia" w:eastAsia="宋体"/>
          <w:color w:val="auto"/>
          <w:highlight w:val="none"/>
        </w:rPr>
      </w:pPr>
    </w:p>
    <w:p w14:paraId="0BB327D0">
      <w:pPr>
        <w:spacing w:before="80" w:beforeLines="25" w:after="80" w:afterLines="25"/>
        <w:jc w:val="center"/>
        <w:outlineLvl w:val="1"/>
        <w:rPr>
          <w:rFonts w:hint="eastAsia" w:ascii="宋体" w:hAnsi="宋体" w:cs="宋体"/>
          <w:b/>
          <w:color w:val="auto"/>
          <w:sz w:val="28"/>
          <w:szCs w:val="28"/>
          <w:highlight w:val="none"/>
        </w:rPr>
      </w:pPr>
      <w:bookmarkStart w:id="150" w:name="_Toc7992"/>
      <w:bookmarkStart w:id="151" w:name="_Toc12658"/>
      <w:bookmarkStart w:id="152" w:name="_Toc438714870"/>
      <w:bookmarkStart w:id="153" w:name="_Toc407"/>
      <w:bookmarkStart w:id="154" w:name="_Toc26829"/>
      <w:bookmarkStart w:id="155" w:name="_Toc6287"/>
      <w:r>
        <w:rPr>
          <w:rFonts w:hint="eastAsia" w:ascii="宋体" w:hAnsi="宋体" w:cs="宋体"/>
          <w:b/>
          <w:color w:val="auto"/>
          <w:sz w:val="28"/>
          <w:szCs w:val="28"/>
          <w:highlight w:val="none"/>
        </w:rPr>
        <w:t>目  录</w:t>
      </w:r>
      <w:bookmarkEnd w:id="150"/>
      <w:bookmarkEnd w:id="151"/>
      <w:bookmarkEnd w:id="152"/>
      <w:bookmarkEnd w:id="153"/>
      <w:bookmarkEnd w:id="154"/>
      <w:bookmarkEnd w:id="155"/>
    </w:p>
    <w:p w14:paraId="6EB72F67">
      <w:pPr>
        <w:adjustRightInd w:val="0"/>
        <w:snapToGrid w:val="0"/>
        <w:spacing w:line="460" w:lineRule="exact"/>
        <w:jc w:val="left"/>
        <w:rPr>
          <w:rFonts w:hint="eastAsia" w:ascii="宋体" w:hAnsi="宋体" w:cs="宋体"/>
          <w:color w:val="auto"/>
          <w:sz w:val="24"/>
          <w:highlight w:val="none"/>
        </w:rPr>
      </w:pPr>
      <w:bookmarkStart w:id="156" w:name="_Toc16071"/>
      <w:bookmarkStart w:id="157" w:name="_Toc5447"/>
      <w:bookmarkStart w:id="158" w:name="_Toc17939"/>
      <w:r>
        <w:rPr>
          <w:rFonts w:hint="eastAsia" w:ascii="宋体" w:hAnsi="宋体" w:cs="宋体"/>
          <w:color w:val="auto"/>
          <w:sz w:val="24"/>
          <w:highlight w:val="none"/>
        </w:rPr>
        <w:t>1、投标函</w:t>
      </w:r>
    </w:p>
    <w:p w14:paraId="71B0CC3A">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2、法定代表人身份证明书</w:t>
      </w:r>
    </w:p>
    <w:p w14:paraId="32A6A745">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3、授权委托书（如果有）</w:t>
      </w:r>
    </w:p>
    <w:p w14:paraId="5DC87C69">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4、开标一览表</w:t>
      </w:r>
    </w:p>
    <w:p w14:paraId="47241445">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5、投标分项明细报价表</w:t>
      </w:r>
    </w:p>
    <w:p w14:paraId="005673ED">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6、技术参数偏离表</w:t>
      </w:r>
    </w:p>
    <w:p w14:paraId="640568D7">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7、资格证明文件</w:t>
      </w:r>
    </w:p>
    <w:p w14:paraId="6AF5E044">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8、方案</w:t>
      </w:r>
    </w:p>
    <w:p w14:paraId="552374F6">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9、采购事前信用承诺书</w:t>
      </w:r>
    </w:p>
    <w:p w14:paraId="6A0E5E59">
      <w:pPr>
        <w:adjustRightInd w:val="0"/>
        <w:snapToGrid w:val="0"/>
        <w:spacing w:line="460" w:lineRule="exact"/>
        <w:jc w:val="left"/>
        <w:rPr>
          <w:rFonts w:hint="eastAsia" w:ascii="宋体" w:hAnsi="宋体" w:cs="宋体"/>
          <w:color w:val="auto"/>
          <w:sz w:val="24"/>
          <w:highlight w:val="none"/>
        </w:rPr>
      </w:pPr>
      <w:r>
        <w:rPr>
          <w:rFonts w:hint="eastAsia" w:ascii="宋体" w:hAnsi="宋体" w:cs="宋体"/>
          <w:color w:val="auto"/>
          <w:sz w:val="24"/>
          <w:highlight w:val="none"/>
        </w:rPr>
        <w:t>10、招标文件要求提供或投标人认为有必要提供的其他文件</w:t>
      </w:r>
    </w:p>
    <w:p w14:paraId="47798327">
      <w:pPr>
        <w:spacing w:line="360" w:lineRule="auto"/>
        <w:jc w:val="center"/>
        <w:outlineLvl w:val="1"/>
        <w:rPr>
          <w:rFonts w:hint="eastAsia" w:hAnsi="宋体" w:cs="宋体"/>
          <w:color w:val="auto"/>
          <w:sz w:val="24"/>
          <w:highlight w:val="none"/>
        </w:rPr>
      </w:pPr>
    </w:p>
    <w:p w14:paraId="315184A5">
      <w:pPr>
        <w:spacing w:line="360" w:lineRule="auto"/>
        <w:jc w:val="center"/>
        <w:outlineLvl w:val="1"/>
        <w:rPr>
          <w:rFonts w:hint="eastAsia" w:hAnsi="宋体" w:cs="宋体"/>
          <w:color w:val="auto"/>
          <w:sz w:val="24"/>
          <w:highlight w:val="none"/>
        </w:rPr>
      </w:pPr>
    </w:p>
    <w:p w14:paraId="4BB5ECEC">
      <w:pPr>
        <w:spacing w:line="360" w:lineRule="auto"/>
        <w:jc w:val="center"/>
        <w:outlineLvl w:val="1"/>
        <w:rPr>
          <w:rFonts w:hint="eastAsia" w:ascii="宋体" w:hAnsi="宋体" w:cs="宋体"/>
          <w:b/>
          <w:bCs/>
          <w:color w:val="auto"/>
          <w:sz w:val="28"/>
          <w:szCs w:val="28"/>
          <w:highlight w:val="none"/>
        </w:rPr>
      </w:pPr>
      <w:r>
        <w:rPr>
          <w:rFonts w:hint="eastAsia" w:hAnsi="宋体" w:cs="宋体"/>
          <w:color w:val="auto"/>
          <w:sz w:val="24"/>
          <w:highlight w:val="none"/>
        </w:rPr>
        <w:br w:type="page"/>
      </w:r>
      <w:bookmarkStart w:id="159" w:name="_Toc10067"/>
      <w:r>
        <w:rPr>
          <w:rFonts w:hint="eastAsia" w:ascii="宋体" w:hAnsi="宋体" w:cs="宋体"/>
          <w:b/>
          <w:bCs/>
          <w:color w:val="auto"/>
          <w:sz w:val="28"/>
          <w:szCs w:val="28"/>
          <w:highlight w:val="none"/>
        </w:rPr>
        <w:t>一、投标函</w:t>
      </w:r>
      <w:bookmarkEnd w:id="145"/>
      <w:bookmarkEnd w:id="146"/>
      <w:bookmarkEnd w:id="156"/>
      <w:bookmarkEnd w:id="157"/>
      <w:bookmarkEnd w:id="158"/>
      <w:bookmarkEnd w:id="159"/>
    </w:p>
    <w:p w14:paraId="66548D26">
      <w:pPr>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         </w:t>
      </w:r>
    </w:p>
    <w:p w14:paraId="78BE9B5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根据贵方项目编号为</w:t>
      </w:r>
      <w:r>
        <w:rPr>
          <w:rFonts w:hint="eastAsia" w:ascii="宋体" w:hAnsi="宋体" w:cs="宋体"/>
          <w:color w:val="auto"/>
          <w:sz w:val="24"/>
          <w:highlight w:val="none"/>
          <w:u w:val="single"/>
        </w:rPr>
        <w:t>（           ）</w:t>
      </w:r>
      <w:r>
        <w:rPr>
          <w:rFonts w:hint="eastAsia" w:ascii="宋体" w:hAnsi="宋体" w:cs="宋体"/>
          <w:color w:val="auto"/>
          <w:sz w:val="24"/>
          <w:highlight w:val="none"/>
        </w:rPr>
        <w:t>的</w:t>
      </w:r>
      <w:r>
        <w:rPr>
          <w:rFonts w:hint="eastAsia" w:ascii="宋体" w:hAnsi="宋体" w:cs="宋体"/>
          <w:bCs/>
          <w:color w:val="auto"/>
          <w:kern w:val="0"/>
          <w:sz w:val="24"/>
          <w:highlight w:val="none"/>
          <w:u w:val="single"/>
        </w:rPr>
        <w:t xml:space="preserve">       （项目名称）</w:t>
      </w:r>
      <w:r>
        <w:rPr>
          <w:rFonts w:hint="eastAsia" w:ascii="宋体" w:hAnsi="宋体" w:cs="宋体"/>
          <w:color w:val="auto"/>
          <w:sz w:val="24"/>
          <w:highlight w:val="none"/>
        </w:rPr>
        <w:t>招标采购公告和招标文件，我方授权代表</w:t>
      </w:r>
      <w:r>
        <w:rPr>
          <w:rFonts w:hint="eastAsia" w:ascii="宋体" w:hAnsi="宋体" w:cs="宋体"/>
          <w:color w:val="auto"/>
          <w:sz w:val="24"/>
          <w:highlight w:val="none"/>
          <w:u w:val="single"/>
        </w:rPr>
        <w:t xml:space="preserve">（姓名)        </w:t>
      </w:r>
      <w:r>
        <w:rPr>
          <w:rFonts w:hint="eastAsia" w:ascii="宋体" w:hAnsi="宋体" w:cs="宋体"/>
          <w:color w:val="auto"/>
          <w:sz w:val="24"/>
          <w:highlight w:val="none"/>
        </w:rPr>
        <w:t>经正式授权并代表投标人</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提交投标文件。</w:t>
      </w:r>
    </w:p>
    <w:p w14:paraId="2762D2EE">
      <w:pPr>
        <w:pStyle w:val="49"/>
        <w:adjustRightInd/>
        <w:spacing w:before="80" w:after="80"/>
        <w:ind w:firstLineChars="200"/>
        <w:rPr>
          <w:rFonts w:hint="eastAsia" w:ascii="宋体" w:hAnsi="宋体" w:cs="宋体"/>
          <w:color w:val="auto"/>
          <w:kern w:val="2"/>
          <w:highlight w:val="none"/>
        </w:rPr>
      </w:pPr>
      <w:r>
        <w:rPr>
          <w:rFonts w:hint="eastAsia" w:ascii="宋体" w:hAnsi="宋体" w:cs="宋体"/>
          <w:color w:val="auto"/>
          <w:kern w:val="2"/>
          <w:highlight w:val="none"/>
        </w:rPr>
        <w:t>1.按招标文件规定的各项要求提供合格的产品和服务。</w:t>
      </w:r>
    </w:p>
    <w:p w14:paraId="62BB1F33">
      <w:pPr>
        <w:pStyle w:val="49"/>
        <w:adjustRightInd/>
        <w:spacing w:before="80" w:after="80"/>
        <w:ind w:firstLineChars="200"/>
        <w:rPr>
          <w:rFonts w:hint="eastAsia" w:ascii="宋体" w:hAnsi="宋体" w:cs="宋体"/>
          <w:color w:val="auto"/>
          <w:kern w:val="2"/>
          <w:highlight w:val="none"/>
        </w:rPr>
      </w:pPr>
      <w:r>
        <w:rPr>
          <w:rFonts w:hint="eastAsia" w:ascii="宋体" w:hAnsi="宋体" w:cs="宋体"/>
          <w:color w:val="auto"/>
          <w:kern w:val="2"/>
          <w:highlight w:val="none"/>
        </w:rPr>
        <w:t>2.我们完全理解贵方不一定将合同授予最低报价的投标人。</w:t>
      </w:r>
    </w:p>
    <w:p w14:paraId="7031761A">
      <w:pPr>
        <w:pStyle w:val="49"/>
        <w:adjustRightInd/>
        <w:spacing w:before="80" w:after="80"/>
        <w:ind w:firstLineChars="200"/>
        <w:rPr>
          <w:rFonts w:hint="eastAsia" w:ascii="宋体" w:hAnsi="宋体" w:cs="宋体"/>
          <w:color w:val="auto"/>
          <w:kern w:val="2"/>
          <w:highlight w:val="none"/>
        </w:rPr>
      </w:pPr>
      <w:r>
        <w:rPr>
          <w:rFonts w:hint="eastAsia" w:ascii="宋体" w:hAnsi="宋体" w:cs="宋体"/>
          <w:color w:val="auto"/>
          <w:kern w:val="2"/>
          <w:highlight w:val="none"/>
        </w:rPr>
        <w:t>3.我们已详细审核全部招标文件及其有效补充文件，我们知道必须放弃提出含糊不清或误解问题的权利。</w:t>
      </w:r>
    </w:p>
    <w:p w14:paraId="3E9CCB70">
      <w:pPr>
        <w:pStyle w:val="49"/>
        <w:adjustRightInd/>
        <w:spacing w:before="80" w:after="80"/>
        <w:ind w:firstLineChars="200"/>
        <w:rPr>
          <w:rFonts w:hint="eastAsia" w:ascii="宋体" w:hAnsi="宋体" w:cs="宋体"/>
          <w:color w:val="auto"/>
          <w:kern w:val="2"/>
          <w:highlight w:val="none"/>
        </w:rPr>
      </w:pPr>
      <w:r>
        <w:rPr>
          <w:rFonts w:hint="eastAsia" w:ascii="宋体" w:hAnsi="宋体" w:cs="宋体"/>
          <w:color w:val="auto"/>
          <w:kern w:val="2"/>
          <w:highlight w:val="none"/>
        </w:rPr>
        <w:t>4.我们同意从规定的开标日期起遵循本投标文件，并在规定的投标有效期期满之前均具有约束力。</w:t>
      </w:r>
    </w:p>
    <w:p w14:paraId="6477FEC5">
      <w:pPr>
        <w:pStyle w:val="49"/>
        <w:adjustRightInd/>
        <w:spacing w:before="80" w:after="80"/>
        <w:ind w:firstLineChars="200"/>
        <w:rPr>
          <w:rFonts w:hint="eastAsia" w:ascii="宋体" w:hAnsi="宋体" w:cs="宋体"/>
          <w:color w:val="auto"/>
          <w:kern w:val="2"/>
          <w:highlight w:val="none"/>
        </w:rPr>
      </w:pPr>
      <w:r>
        <w:rPr>
          <w:rFonts w:hint="eastAsia" w:ascii="宋体" w:hAnsi="宋体" w:cs="宋体"/>
          <w:color w:val="auto"/>
          <w:kern w:val="2"/>
          <w:highlight w:val="none"/>
        </w:rPr>
        <w:t>5.如果在开标后规定的投标有效期内撤回投标或中标后拒绝签订合同，我们接受相关部门作出的处理决定。</w:t>
      </w:r>
    </w:p>
    <w:p w14:paraId="42C08A27">
      <w:pPr>
        <w:pStyle w:val="49"/>
        <w:adjustRightInd/>
        <w:spacing w:before="80" w:after="80"/>
        <w:ind w:firstLineChars="200"/>
        <w:rPr>
          <w:rFonts w:hint="eastAsia" w:ascii="宋体" w:hAnsi="宋体" w:cs="宋体"/>
          <w:color w:val="auto"/>
          <w:kern w:val="2"/>
          <w:highlight w:val="none"/>
        </w:rPr>
      </w:pPr>
      <w:r>
        <w:rPr>
          <w:rFonts w:hint="eastAsia" w:ascii="宋体" w:hAnsi="宋体" w:cs="宋体"/>
          <w:color w:val="auto"/>
          <w:kern w:val="2"/>
          <w:highlight w:val="none"/>
        </w:rPr>
        <w:t>6.同意向贵方提供贵方可能另外要求的与投标有关的任何证据或资料，并保证我方已提供和将要提供的文件是真实的、准确的。</w:t>
      </w:r>
    </w:p>
    <w:p w14:paraId="32DFCE07">
      <w:pPr>
        <w:pStyle w:val="49"/>
        <w:adjustRightInd/>
        <w:spacing w:before="80" w:after="80"/>
        <w:ind w:firstLineChars="200"/>
        <w:rPr>
          <w:rFonts w:hint="eastAsia" w:ascii="宋体" w:hAnsi="宋体" w:cs="宋体"/>
          <w:color w:val="auto"/>
          <w:kern w:val="2"/>
          <w:highlight w:val="none"/>
        </w:rPr>
      </w:pPr>
      <w:r>
        <w:rPr>
          <w:rFonts w:hint="eastAsia" w:ascii="宋体" w:hAnsi="宋体" w:cs="宋体"/>
          <w:color w:val="auto"/>
          <w:kern w:val="2"/>
          <w:highlight w:val="none"/>
        </w:rPr>
        <w:t>7.一旦我方中标,我方将根据招标文件的规定，严格履行合同的责任和义务,并保证在规定的时间完成项目，交付甲方验收、使用。</w:t>
      </w:r>
    </w:p>
    <w:p w14:paraId="4EC933EB">
      <w:pPr>
        <w:spacing w:line="360" w:lineRule="auto"/>
        <w:ind w:firstLine="480" w:firstLineChars="200"/>
        <w:rPr>
          <w:rFonts w:hint="eastAsia" w:ascii="宋体" w:hAnsi="宋体" w:cs="宋体"/>
          <w:color w:val="auto"/>
          <w:sz w:val="24"/>
          <w:highlight w:val="none"/>
        </w:rPr>
      </w:pPr>
    </w:p>
    <w:p w14:paraId="7E9BFD83">
      <w:pPr>
        <w:tabs>
          <w:tab w:val="left" w:pos="2814"/>
        </w:tabs>
        <w:spacing w:line="360" w:lineRule="auto"/>
        <w:ind w:firstLine="432" w:firstLineChars="200"/>
        <w:rPr>
          <w:rFonts w:hint="eastAsia" w:ascii="宋体" w:hAnsi="宋体" w:cs="宋体"/>
          <w:color w:val="auto"/>
          <w:w w:val="90"/>
          <w:sz w:val="24"/>
          <w:highlight w:val="none"/>
        </w:rPr>
      </w:pPr>
    </w:p>
    <w:p w14:paraId="0653F9D5">
      <w:pPr>
        <w:tabs>
          <w:tab w:val="left" w:pos="2814"/>
        </w:tabs>
        <w:spacing w:line="360" w:lineRule="auto"/>
        <w:ind w:firstLine="480" w:firstLineChars="200"/>
        <w:jc w:val="left"/>
        <w:rPr>
          <w:rFonts w:hint="eastAsia" w:ascii="宋体" w:hAnsi="宋体" w:cs="宋体"/>
          <w:color w:val="auto"/>
          <w:w w:val="90"/>
          <w:sz w:val="24"/>
          <w:highlight w:val="none"/>
        </w:rPr>
      </w:pPr>
      <w:r>
        <w:rPr>
          <w:rFonts w:hint="eastAsia" w:ascii="宋体" w:hAnsi="宋体" w:cs="宋体"/>
          <w:color w:val="auto"/>
          <w:sz w:val="24"/>
          <w:highlight w:val="none"/>
        </w:rPr>
        <w:t>投标人（盖章）：</w:t>
      </w:r>
    </w:p>
    <w:p w14:paraId="67BD9A2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法定代表人或其授权代表（签字或盖章）</w:t>
      </w:r>
      <w:r>
        <w:rPr>
          <w:rFonts w:hint="eastAsia" w:ascii="宋体" w:hAnsi="宋体" w:cs="宋体"/>
          <w:color w:val="auto"/>
          <w:w w:val="90"/>
          <w:sz w:val="24"/>
          <w:highlight w:val="none"/>
        </w:rPr>
        <w:t>：</w:t>
      </w:r>
    </w:p>
    <w:p w14:paraId="5940D48F">
      <w:pPr>
        <w:tabs>
          <w:tab w:val="left" w:pos="2814"/>
        </w:tabs>
        <w:spacing w:line="360" w:lineRule="auto"/>
        <w:ind w:firstLine="480" w:firstLineChars="200"/>
        <w:jc w:val="left"/>
        <w:rPr>
          <w:rFonts w:hint="eastAsia" w:ascii="宋体" w:hAnsi="宋体" w:cs="宋体"/>
          <w:color w:val="auto"/>
          <w:w w:val="90"/>
          <w:sz w:val="24"/>
          <w:highlight w:val="none"/>
        </w:rPr>
      </w:pPr>
      <w:r>
        <w:rPr>
          <w:rFonts w:hint="eastAsia" w:ascii="宋体" w:hAnsi="宋体" w:cs="宋体"/>
          <w:color w:val="auto"/>
          <w:sz w:val="24"/>
          <w:highlight w:val="none"/>
        </w:rPr>
        <w:t>地址：</w:t>
      </w:r>
    </w:p>
    <w:p w14:paraId="3C2CD4ED">
      <w:pPr>
        <w:tabs>
          <w:tab w:val="left" w:pos="2814"/>
        </w:tabs>
        <w:spacing w:line="360" w:lineRule="auto"/>
        <w:ind w:firstLine="480" w:firstLineChars="200"/>
        <w:jc w:val="left"/>
        <w:rPr>
          <w:rFonts w:hint="eastAsia" w:ascii="宋体" w:hAnsi="宋体" w:cs="宋体"/>
          <w:color w:val="auto"/>
          <w:w w:val="90"/>
          <w:sz w:val="24"/>
          <w:highlight w:val="none"/>
        </w:rPr>
      </w:pPr>
      <w:r>
        <w:rPr>
          <w:rFonts w:hint="eastAsia" w:ascii="宋体" w:hAnsi="宋体" w:cs="宋体"/>
          <w:color w:val="auto"/>
          <w:sz w:val="24"/>
          <w:highlight w:val="none"/>
        </w:rPr>
        <w:t xml:space="preserve">传真： </w:t>
      </w:r>
    </w:p>
    <w:p w14:paraId="4982AEAA">
      <w:pPr>
        <w:tabs>
          <w:tab w:val="left" w:pos="2814"/>
        </w:tabs>
        <w:spacing w:line="360" w:lineRule="auto"/>
        <w:ind w:firstLine="480" w:firstLineChars="200"/>
        <w:jc w:val="left"/>
        <w:rPr>
          <w:rFonts w:hint="eastAsia" w:ascii="宋体" w:hAnsi="宋体" w:cs="宋体"/>
          <w:color w:val="auto"/>
          <w:w w:val="90"/>
          <w:sz w:val="24"/>
          <w:highlight w:val="none"/>
        </w:rPr>
      </w:pPr>
      <w:r>
        <w:rPr>
          <w:rFonts w:hint="eastAsia" w:ascii="宋体" w:hAnsi="宋体" w:cs="宋体"/>
          <w:color w:val="auto"/>
          <w:sz w:val="24"/>
          <w:highlight w:val="none"/>
        </w:rPr>
        <w:t>电话：</w:t>
      </w:r>
    </w:p>
    <w:p w14:paraId="357FE0D4">
      <w:pPr>
        <w:tabs>
          <w:tab w:val="left" w:pos="2814"/>
        </w:tabs>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170CADB4">
      <w:pPr>
        <w:tabs>
          <w:tab w:val="center" w:pos="4621"/>
          <w:tab w:val="left" w:pos="6135"/>
        </w:tabs>
        <w:spacing w:line="360" w:lineRule="auto"/>
        <w:ind w:firstLine="480" w:firstLineChars="200"/>
        <w:jc w:val="center"/>
        <w:outlineLvl w:val="1"/>
        <w:rPr>
          <w:rFonts w:hint="eastAsia" w:ascii="宋体" w:hAnsi="宋体" w:cs="宋体"/>
          <w:b/>
          <w:bCs/>
          <w:color w:val="auto"/>
          <w:sz w:val="28"/>
          <w:szCs w:val="28"/>
          <w:highlight w:val="none"/>
        </w:rPr>
      </w:pPr>
      <w:r>
        <w:rPr>
          <w:rFonts w:hint="eastAsia" w:ascii="宋体" w:hAnsi="宋体" w:cs="宋体"/>
          <w:color w:val="auto"/>
          <w:kern w:val="0"/>
          <w:sz w:val="24"/>
          <w:highlight w:val="none"/>
        </w:rPr>
        <w:br w:type="page"/>
      </w:r>
      <w:bookmarkStart w:id="160" w:name="_Toc12557"/>
      <w:bookmarkStart w:id="161" w:name="_Toc137"/>
      <w:bookmarkStart w:id="162" w:name="_Toc6449"/>
      <w:bookmarkStart w:id="163" w:name="_Toc16421"/>
      <w:bookmarkStart w:id="164" w:name="_Toc158"/>
      <w:bookmarkStart w:id="165" w:name="_Toc31418"/>
      <w:bookmarkStart w:id="166" w:name="_Toc6260"/>
      <w:bookmarkStart w:id="167" w:name="_Toc32090"/>
      <w:bookmarkStart w:id="168" w:name="_Toc20204"/>
      <w:bookmarkStart w:id="169" w:name="_Toc23264"/>
      <w:bookmarkStart w:id="170" w:name="_Toc12122"/>
      <w:bookmarkStart w:id="171" w:name="_Toc46"/>
      <w:bookmarkStart w:id="172" w:name="_Toc19007"/>
      <w:r>
        <w:rPr>
          <w:rFonts w:hint="eastAsia" w:ascii="宋体" w:hAnsi="宋体" w:cs="宋体"/>
          <w:b/>
          <w:bCs/>
          <w:color w:val="auto"/>
          <w:sz w:val="28"/>
          <w:szCs w:val="28"/>
          <w:highlight w:val="none"/>
        </w:rPr>
        <w:t>二、法定代表人身份证明书</w:t>
      </w:r>
      <w:bookmarkEnd w:id="160"/>
      <w:bookmarkEnd w:id="161"/>
      <w:bookmarkEnd w:id="162"/>
      <w:bookmarkEnd w:id="163"/>
      <w:bookmarkEnd w:id="164"/>
      <w:bookmarkEnd w:id="165"/>
      <w:bookmarkEnd w:id="166"/>
      <w:bookmarkEnd w:id="167"/>
      <w:bookmarkEnd w:id="168"/>
      <w:bookmarkEnd w:id="169"/>
      <w:bookmarkEnd w:id="170"/>
      <w:bookmarkEnd w:id="171"/>
      <w:bookmarkEnd w:id="172"/>
    </w:p>
    <w:p w14:paraId="7A8CFAFA">
      <w:pPr>
        <w:spacing w:line="360" w:lineRule="auto"/>
        <w:rPr>
          <w:rFonts w:hint="eastAsia" w:ascii="宋体" w:hAnsi="宋体" w:cs="宋体"/>
          <w:color w:val="auto"/>
          <w:sz w:val="24"/>
          <w:highlight w:val="none"/>
        </w:rPr>
      </w:pPr>
    </w:p>
    <w:p w14:paraId="4A29209F">
      <w:pPr>
        <w:spacing w:line="360" w:lineRule="auto"/>
        <w:rPr>
          <w:rFonts w:hint="eastAsia" w:ascii="宋体" w:hAnsi="宋体" w:cs="宋体"/>
          <w:color w:val="auto"/>
          <w:sz w:val="24"/>
          <w:highlight w:val="none"/>
        </w:rPr>
      </w:pPr>
    </w:p>
    <w:p w14:paraId="552BFD5C">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p>
    <w:p w14:paraId="69564FF3">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p>
    <w:p w14:paraId="695DBCC8">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14:paraId="10E77920">
      <w:pPr>
        <w:spacing w:line="360" w:lineRule="auto"/>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p>
    <w:p w14:paraId="77C57DB8">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职务：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141C724B">
      <w:pPr>
        <w:spacing w:line="360" w:lineRule="auto"/>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的法定代表人。</w:t>
      </w:r>
    </w:p>
    <w:p w14:paraId="613BA1D7">
      <w:pPr>
        <w:spacing w:line="360" w:lineRule="auto"/>
        <w:rPr>
          <w:rFonts w:hint="eastAsia" w:ascii="宋体" w:hAnsi="宋体" w:cs="宋体"/>
          <w:color w:val="auto"/>
          <w:sz w:val="24"/>
          <w:highlight w:val="none"/>
        </w:rPr>
      </w:pPr>
    </w:p>
    <w:p w14:paraId="291D7F58">
      <w:pPr>
        <w:spacing w:line="360" w:lineRule="auto"/>
        <w:rPr>
          <w:rFonts w:hint="eastAsia" w:ascii="宋体" w:hAnsi="宋体" w:cs="宋体"/>
          <w:color w:val="auto"/>
          <w:sz w:val="24"/>
          <w:highlight w:val="none"/>
        </w:rPr>
      </w:pPr>
      <w:r>
        <w:rPr>
          <w:rFonts w:hint="eastAsia" w:ascii="宋体" w:hAnsi="宋体" w:cs="宋体"/>
          <w:color w:val="auto"/>
          <w:sz w:val="24"/>
          <w:highlight w:val="none"/>
        </w:rPr>
        <w:t>特此证明。</w:t>
      </w:r>
    </w:p>
    <w:p w14:paraId="363A5B72">
      <w:pPr>
        <w:spacing w:line="360" w:lineRule="auto"/>
        <w:rPr>
          <w:rFonts w:hint="eastAsia" w:ascii="宋体" w:hAnsi="宋体" w:cs="宋体"/>
          <w:color w:val="auto"/>
          <w:sz w:val="24"/>
          <w:highlight w:val="none"/>
        </w:rPr>
      </w:pPr>
    </w:p>
    <w:p w14:paraId="041CDBA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投标人（盖章）： </w:t>
      </w:r>
    </w:p>
    <w:p w14:paraId="72924DCF">
      <w:pPr>
        <w:spacing w:line="360" w:lineRule="auto"/>
        <w:rPr>
          <w:rFonts w:hint="eastAsia" w:ascii="宋体" w:hAnsi="宋体" w:cs="宋体"/>
          <w:b/>
          <w:color w:val="auto"/>
          <w:w w:val="90"/>
          <w:sz w:val="24"/>
          <w:highlight w:val="none"/>
        </w:rPr>
      </w:pPr>
    </w:p>
    <w:p w14:paraId="1B5441CD">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  期：    年    月    日</w:t>
      </w:r>
    </w:p>
    <w:p w14:paraId="2A465A53">
      <w:pPr>
        <w:spacing w:line="360" w:lineRule="auto"/>
        <w:rPr>
          <w:rFonts w:hint="eastAsia" w:ascii="宋体" w:hAnsi="宋体" w:cs="宋体"/>
          <w:color w:val="auto"/>
          <w:spacing w:val="20"/>
          <w:sz w:val="24"/>
          <w:highlight w:val="none"/>
        </w:rPr>
      </w:pPr>
    </w:p>
    <w:p w14:paraId="5C5E214F">
      <w:pPr>
        <w:pStyle w:val="17"/>
        <w:spacing w:line="480" w:lineRule="exact"/>
        <w:ind w:firstLine="0"/>
        <w:jc w:val="center"/>
        <w:rPr>
          <w:rFonts w:hint="eastAsia" w:ascii="宋体" w:hAnsi="宋体" w:cs="宋体"/>
          <w:b/>
          <w:color w:val="auto"/>
          <w:szCs w:val="24"/>
          <w:highlight w:val="none"/>
        </w:rPr>
      </w:pPr>
    </w:p>
    <w:p w14:paraId="17EB50AA">
      <w:pPr>
        <w:pStyle w:val="17"/>
        <w:spacing w:line="480" w:lineRule="exact"/>
        <w:ind w:firstLine="0"/>
        <w:jc w:val="center"/>
        <w:rPr>
          <w:rFonts w:hint="eastAsia" w:ascii="宋体" w:hAnsi="宋体" w:cs="宋体"/>
          <w:b/>
          <w:color w:val="auto"/>
          <w:szCs w:val="24"/>
          <w:highlight w:val="none"/>
        </w:rPr>
      </w:pPr>
    </w:p>
    <w:tbl>
      <w:tblPr>
        <w:tblStyle w:val="27"/>
        <w:tblW w:w="7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0"/>
      </w:tblGrid>
      <w:tr w14:paraId="2F00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7" w:hRule="atLeast"/>
          <w:jc w:val="center"/>
        </w:trPr>
        <w:tc>
          <w:tcPr>
            <w:tcW w:w="7740" w:type="dxa"/>
            <w:vAlign w:val="center"/>
          </w:tcPr>
          <w:p w14:paraId="79DAAB6F">
            <w:pPr>
              <w:adjustRightInd w:val="0"/>
              <w:snapToGrid w:val="0"/>
              <w:spacing w:line="460" w:lineRule="exact"/>
              <w:jc w:val="center"/>
              <w:rPr>
                <w:rFonts w:hint="eastAsia" w:ascii="宋体" w:hAnsi="宋体" w:cs="宋体"/>
                <w:b/>
                <w:color w:val="auto"/>
                <w:highlight w:val="none"/>
              </w:rPr>
            </w:pPr>
            <w:r>
              <w:rPr>
                <w:rFonts w:hint="eastAsia" w:ascii="宋体" w:hAnsi="宋体" w:cs="宋体"/>
                <w:color w:val="auto"/>
                <w:spacing w:val="20"/>
                <w:sz w:val="24"/>
                <w:highlight w:val="none"/>
              </w:rPr>
              <w:t>法定代表人身份证明</w:t>
            </w:r>
          </w:p>
        </w:tc>
      </w:tr>
    </w:tbl>
    <w:p w14:paraId="42036F6F">
      <w:pPr>
        <w:adjustRightInd w:val="0"/>
        <w:snapToGrid w:val="0"/>
        <w:spacing w:line="460" w:lineRule="exact"/>
        <w:jc w:val="center"/>
        <w:rPr>
          <w:rFonts w:hint="eastAsia" w:ascii="宋体" w:hAnsi="宋体" w:cs="宋体"/>
          <w:color w:val="auto"/>
          <w:sz w:val="24"/>
          <w:highlight w:val="none"/>
        </w:rPr>
      </w:pPr>
    </w:p>
    <w:p w14:paraId="555DEFE0">
      <w:pPr>
        <w:spacing w:line="360" w:lineRule="auto"/>
        <w:jc w:val="center"/>
        <w:outlineLvl w:val="1"/>
        <w:rPr>
          <w:rFonts w:hint="eastAsia" w:ascii="宋体" w:hAnsi="宋体" w:cs="宋体"/>
          <w:b/>
          <w:bCs/>
          <w:color w:val="auto"/>
          <w:sz w:val="28"/>
          <w:szCs w:val="28"/>
          <w:highlight w:val="none"/>
        </w:rPr>
      </w:pPr>
      <w:r>
        <w:rPr>
          <w:rFonts w:hint="eastAsia" w:ascii="宋体" w:hAnsi="宋体" w:cs="宋体"/>
          <w:color w:val="auto"/>
          <w:spacing w:val="20"/>
          <w:sz w:val="24"/>
          <w:highlight w:val="none"/>
        </w:rPr>
        <w:br w:type="page"/>
      </w:r>
      <w:bookmarkStart w:id="173" w:name="_Toc8537"/>
      <w:bookmarkStart w:id="174" w:name="_Toc16427"/>
      <w:bookmarkStart w:id="175" w:name="_Toc21982"/>
      <w:bookmarkStart w:id="176" w:name="_Toc19467"/>
      <w:bookmarkStart w:id="177" w:name="_Toc13424"/>
      <w:bookmarkStart w:id="178" w:name="_Toc14237"/>
      <w:bookmarkStart w:id="179" w:name="_Toc5490"/>
      <w:bookmarkStart w:id="180" w:name="_Toc17140"/>
      <w:bookmarkStart w:id="181" w:name="_Toc29992"/>
      <w:bookmarkStart w:id="182" w:name="_Toc18632"/>
      <w:bookmarkStart w:id="183" w:name="_Toc18"/>
      <w:bookmarkStart w:id="184" w:name="_Toc30156"/>
      <w:r>
        <w:rPr>
          <w:rFonts w:hint="eastAsia" w:ascii="宋体" w:hAnsi="宋体" w:cs="宋体"/>
          <w:b/>
          <w:bCs/>
          <w:color w:val="auto"/>
          <w:sz w:val="28"/>
          <w:szCs w:val="28"/>
          <w:highlight w:val="none"/>
        </w:rPr>
        <w:t>三、授权委托书（如果有）</w:t>
      </w:r>
      <w:bookmarkEnd w:id="173"/>
      <w:bookmarkEnd w:id="174"/>
      <w:bookmarkEnd w:id="175"/>
      <w:bookmarkEnd w:id="176"/>
      <w:bookmarkEnd w:id="177"/>
      <w:bookmarkEnd w:id="178"/>
      <w:bookmarkEnd w:id="179"/>
      <w:bookmarkEnd w:id="180"/>
      <w:bookmarkEnd w:id="181"/>
      <w:bookmarkEnd w:id="182"/>
      <w:bookmarkEnd w:id="183"/>
      <w:bookmarkEnd w:id="184"/>
    </w:p>
    <w:p w14:paraId="54A8EE51">
      <w:pPr>
        <w:pStyle w:val="49"/>
        <w:spacing w:before="80" w:after="80" w:line="420" w:lineRule="exact"/>
        <w:ind w:firstLine="0"/>
        <w:rPr>
          <w:rFonts w:hint="eastAsia" w:ascii="宋体" w:hAnsi="宋体" w:cs="宋体"/>
          <w:color w:val="auto"/>
          <w:kern w:val="2"/>
          <w:highlight w:val="none"/>
        </w:rPr>
      </w:pPr>
    </w:p>
    <w:p w14:paraId="064F58B3">
      <w:pPr>
        <w:pStyle w:val="49"/>
        <w:spacing w:before="80" w:after="80" w:line="420" w:lineRule="exact"/>
        <w:ind w:firstLineChars="200"/>
        <w:rPr>
          <w:rFonts w:hint="eastAsia" w:ascii="宋体" w:hAnsi="宋体" w:cs="宋体"/>
          <w:color w:val="auto"/>
          <w:kern w:val="2"/>
          <w:highlight w:val="none"/>
        </w:rPr>
      </w:pPr>
      <w:r>
        <w:rPr>
          <w:rFonts w:hint="eastAsia" w:ascii="宋体" w:hAnsi="宋体" w:cs="宋体"/>
          <w:color w:val="auto"/>
          <w:kern w:val="2"/>
          <w:highlight w:val="none"/>
        </w:rPr>
        <w:t>本授权书声明：</w:t>
      </w:r>
      <w:r>
        <w:rPr>
          <w:rFonts w:hint="eastAsia" w:ascii="宋体" w:hAnsi="宋体" w:cs="宋体"/>
          <w:color w:val="auto"/>
          <w:kern w:val="2"/>
          <w:highlight w:val="none"/>
          <w:u w:val="single"/>
        </w:rPr>
        <w:t xml:space="preserve">  （投标人名称）       </w:t>
      </w:r>
      <w:r>
        <w:rPr>
          <w:rFonts w:hint="eastAsia" w:ascii="宋体" w:hAnsi="宋体" w:cs="宋体"/>
          <w:color w:val="auto"/>
          <w:kern w:val="2"/>
          <w:highlight w:val="none"/>
        </w:rPr>
        <w:t>的</w:t>
      </w:r>
      <w:r>
        <w:rPr>
          <w:rFonts w:hint="eastAsia" w:ascii="宋体" w:hAnsi="宋体" w:cs="宋体"/>
          <w:color w:val="auto"/>
          <w:kern w:val="2"/>
          <w:highlight w:val="none"/>
          <w:u w:val="single"/>
        </w:rPr>
        <w:t xml:space="preserve">  （法定代表人姓名）         </w:t>
      </w:r>
      <w:r>
        <w:rPr>
          <w:rFonts w:hint="eastAsia" w:ascii="宋体" w:hAnsi="宋体" w:cs="宋体"/>
          <w:color w:val="auto"/>
          <w:kern w:val="2"/>
          <w:highlight w:val="none"/>
        </w:rPr>
        <w:t>授权</w:t>
      </w:r>
      <w:r>
        <w:rPr>
          <w:rFonts w:hint="eastAsia" w:ascii="宋体" w:hAnsi="宋体" w:cs="宋体"/>
          <w:color w:val="auto"/>
          <w:kern w:val="2"/>
          <w:highlight w:val="none"/>
          <w:u w:val="single"/>
        </w:rPr>
        <w:t xml:space="preserve">（姓名）          </w:t>
      </w:r>
      <w:r>
        <w:rPr>
          <w:rFonts w:hint="eastAsia" w:ascii="宋体" w:hAnsi="宋体" w:cs="宋体"/>
          <w:color w:val="auto"/>
          <w:kern w:val="2"/>
          <w:highlight w:val="none"/>
        </w:rPr>
        <w:t>为我方参加</w:t>
      </w:r>
      <w:r>
        <w:rPr>
          <w:rFonts w:hint="eastAsia" w:ascii="宋体" w:hAnsi="宋体" w:cs="宋体"/>
          <w:color w:val="auto"/>
          <w:kern w:val="2"/>
          <w:highlight w:val="none"/>
          <w:u w:val="single"/>
        </w:rPr>
        <w:t xml:space="preserve"> （项目编号）         </w:t>
      </w:r>
      <w:r>
        <w:rPr>
          <w:rFonts w:hint="eastAsia" w:ascii="宋体" w:hAnsi="宋体" w:cs="宋体"/>
          <w:color w:val="auto"/>
          <w:kern w:val="2"/>
          <w:highlight w:val="none"/>
        </w:rPr>
        <w:t>的</w:t>
      </w:r>
      <w:r>
        <w:rPr>
          <w:rFonts w:hint="eastAsia" w:ascii="宋体" w:hAnsi="宋体" w:cs="宋体"/>
          <w:color w:val="auto"/>
          <w:spacing w:val="15"/>
          <w:highlight w:val="none"/>
          <w:u w:val="single"/>
        </w:rPr>
        <w:t xml:space="preserve">         （项目名称） </w:t>
      </w:r>
      <w:r>
        <w:rPr>
          <w:rFonts w:hint="eastAsia" w:ascii="宋体" w:hAnsi="宋体" w:cs="宋体"/>
          <w:color w:val="auto"/>
          <w:kern w:val="2"/>
          <w:highlight w:val="none"/>
        </w:rPr>
        <w:t>活动的合法代表，以本单位名义全权处理投标文件递交、澄清、质疑、投诉、签订项目合同等一切与该项目投标有关的事务，未经采购人同意，不得更换被授权委托人。</w:t>
      </w:r>
    </w:p>
    <w:p w14:paraId="5DB450EA">
      <w:pPr>
        <w:pStyle w:val="49"/>
        <w:spacing w:before="80" w:after="80" w:line="420" w:lineRule="exact"/>
        <w:ind w:firstLine="0"/>
        <w:rPr>
          <w:rFonts w:hint="eastAsia" w:ascii="宋体" w:hAnsi="宋体" w:cs="宋体"/>
          <w:color w:val="auto"/>
          <w:kern w:val="2"/>
          <w:highlight w:val="none"/>
        </w:rPr>
      </w:pPr>
    </w:p>
    <w:p w14:paraId="554F8777">
      <w:pPr>
        <w:adjustRightInd w:val="0"/>
        <w:snapToGrid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被授权代表联系电话：</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4A2D84EF">
      <w:pPr>
        <w:adjustRightInd w:val="0"/>
        <w:snapToGrid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授权有效期：</w:t>
      </w:r>
      <w:r>
        <w:rPr>
          <w:rFonts w:hint="eastAsia" w:ascii="宋体" w:hAnsi="宋体" w:cs="宋体"/>
          <w:color w:val="auto"/>
          <w:sz w:val="24"/>
          <w:highlight w:val="none"/>
          <w:u w:val="single"/>
        </w:rPr>
        <w:t xml:space="preserve">     年   月   日至     年   月   日止（不少于投标有效期）</w:t>
      </w:r>
    </w:p>
    <w:p w14:paraId="7FC5C2D6">
      <w:pPr>
        <w:adjustRightInd w:val="0"/>
        <w:snapToGrid w:val="0"/>
        <w:spacing w:line="460" w:lineRule="exact"/>
        <w:rPr>
          <w:rFonts w:hint="eastAsia" w:ascii="宋体" w:hAnsi="宋体" w:cs="宋体"/>
          <w:color w:val="auto"/>
          <w:sz w:val="24"/>
          <w:highlight w:val="none"/>
        </w:rPr>
      </w:pPr>
    </w:p>
    <w:p w14:paraId="519F7997">
      <w:pPr>
        <w:adjustRightInd w:val="0"/>
        <w:snapToGrid w:val="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法定代表人（签字或盖章）：</w:t>
      </w:r>
    </w:p>
    <w:p w14:paraId="55CBC8A2">
      <w:pPr>
        <w:adjustRightInd w:val="0"/>
        <w:snapToGrid w:val="0"/>
        <w:spacing w:line="460" w:lineRule="exact"/>
        <w:rPr>
          <w:rFonts w:hint="eastAsia" w:ascii="宋体" w:hAnsi="宋体" w:cs="宋体"/>
          <w:color w:val="auto"/>
          <w:sz w:val="24"/>
          <w:highlight w:val="none"/>
        </w:rPr>
      </w:pPr>
    </w:p>
    <w:p w14:paraId="6D5E8340">
      <w:pPr>
        <w:adjustRightInd w:val="0"/>
        <w:snapToGrid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被授权代表(签字或盖章)：</w:t>
      </w:r>
    </w:p>
    <w:p w14:paraId="57EE5D00">
      <w:pPr>
        <w:adjustRightInd w:val="0"/>
        <w:snapToGrid w:val="0"/>
        <w:spacing w:line="46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联系电话：</w:t>
      </w:r>
    </w:p>
    <w:p w14:paraId="5949E4B4">
      <w:pPr>
        <w:spacing w:line="460" w:lineRule="exact"/>
        <w:rPr>
          <w:rFonts w:hint="eastAsia" w:ascii="宋体" w:hAnsi="宋体" w:cs="宋体"/>
          <w:color w:val="auto"/>
          <w:kern w:val="0"/>
          <w:sz w:val="24"/>
          <w:highlight w:val="none"/>
        </w:rPr>
      </w:pPr>
    </w:p>
    <w:p w14:paraId="3C2F50AB">
      <w:pPr>
        <w:spacing w:line="46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投标单位（盖章）：</w:t>
      </w:r>
    </w:p>
    <w:p w14:paraId="31E1292D">
      <w:pPr>
        <w:spacing w:line="460" w:lineRule="exact"/>
        <w:rPr>
          <w:rFonts w:hint="eastAsia" w:ascii="宋体" w:hAnsi="宋体" w:cs="宋体"/>
          <w:b/>
          <w:color w:val="auto"/>
          <w:w w:val="90"/>
          <w:sz w:val="24"/>
          <w:highlight w:val="none"/>
        </w:rPr>
      </w:pPr>
    </w:p>
    <w:p w14:paraId="42F12734">
      <w:pPr>
        <w:adjustRightInd w:val="0"/>
        <w:snapToGrid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日     期：     年   月   日</w:t>
      </w:r>
    </w:p>
    <w:p w14:paraId="34CCAF53">
      <w:pPr>
        <w:adjustRightInd w:val="0"/>
        <w:snapToGrid w:val="0"/>
        <w:spacing w:line="460" w:lineRule="exact"/>
        <w:rPr>
          <w:rFonts w:hint="eastAsia" w:ascii="宋体" w:hAnsi="宋体" w:cs="宋体"/>
          <w:color w:val="auto"/>
          <w:sz w:val="24"/>
          <w:highlight w:val="none"/>
        </w:rPr>
      </w:pPr>
    </w:p>
    <w:tbl>
      <w:tblPr>
        <w:tblStyle w:val="27"/>
        <w:tblW w:w="7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0"/>
      </w:tblGrid>
      <w:tr w14:paraId="7BF45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7" w:hRule="atLeast"/>
          <w:jc w:val="center"/>
        </w:trPr>
        <w:tc>
          <w:tcPr>
            <w:tcW w:w="7740" w:type="dxa"/>
            <w:vAlign w:val="center"/>
          </w:tcPr>
          <w:p w14:paraId="57AD84DE">
            <w:pPr>
              <w:adjustRightInd w:val="0"/>
              <w:snapToGrid w:val="0"/>
              <w:spacing w:line="460" w:lineRule="exact"/>
              <w:jc w:val="center"/>
              <w:rPr>
                <w:rFonts w:hint="eastAsia" w:ascii="宋体" w:hAnsi="宋体" w:cs="宋体"/>
                <w:b/>
                <w:color w:val="auto"/>
                <w:highlight w:val="none"/>
              </w:rPr>
            </w:pPr>
            <w:r>
              <w:rPr>
                <w:rFonts w:hint="eastAsia" w:ascii="宋体" w:hAnsi="宋体" w:cs="宋体"/>
                <w:color w:val="auto"/>
                <w:sz w:val="24"/>
                <w:highlight w:val="none"/>
              </w:rPr>
              <w:t>被授权代表身份证明</w:t>
            </w:r>
          </w:p>
        </w:tc>
      </w:tr>
    </w:tbl>
    <w:p w14:paraId="187EE7DC">
      <w:pPr>
        <w:pStyle w:val="18"/>
        <w:rPr>
          <w:rFonts w:hint="eastAsia" w:ascii="宋体" w:hAnsi="宋体" w:cs="宋体"/>
          <w:bCs/>
          <w:color w:val="auto"/>
          <w:sz w:val="24"/>
          <w:highlight w:val="none"/>
        </w:rPr>
      </w:pPr>
    </w:p>
    <w:p w14:paraId="76F1E368">
      <w:pPr>
        <w:rPr>
          <w:rFonts w:hint="eastAsia" w:ascii="宋体" w:hAnsi="宋体" w:cs="宋体"/>
          <w:color w:val="auto"/>
          <w:sz w:val="24"/>
          <w:highlight w:val="none"/>
        </w:rPr>
      </w:pPr>
    </w:p>
    <w:p w14:paraId="237FE5CC">
      <w:pPr>
        <w:widowControl/>
        <w:jc w:val="left"/>
        <w:rPr>
          <w:rFonts w:hint="eastAsia" w:ascii="宋体" w:hAnsi="宋体" w:cs="宋体"/>
          <w:b/>
          <w:bCs/>
          <w:color w:val="auto"/>
          <w:sz w:val="24"/>
          <w:highlight w:val="none"/>
        </w:rPr>
      </w:pPr>
      <w:r>
        <w:rPr>
          <w:rFonts w:hint="eastAsia" w:ascii="宋体" w:hAnsi="宋体" w:cs="宋体"/>
          <w:color w:val="auto"/>
          <w:sz w:val="24"/>
          <w:highlight w:val="none"/>
        </w:rPr>
        <w:br w:type="page"/>
      </w:r>
    </w:p>
    <w:p w14:paraId="532DF9BB">
      <w:pPr>
        <w:spacing w:line="360" w:lineRule="auto"/>
        <w:jc w:val="center"/>
        <w:outlineLvl w:val="1"/>
        <w:rPr>
          <w:rFonts w:hint="eastAsia" w:ascii="宋体" w:hAnsi="宋体" w:cs="宋体"/>
          <w:b/>
          <w:bCs/>
          <w:color w:val="auto"/>
          <w:sz w:val="28"/>
          <w:szCs w:val="28"/>
          <w:highlight w:val="none"/>
        </w:rPr>
      </w:pPr>
      <w:bookmarkStart w:id="185" w:name="_Toc9193"/>
      <w:bookmarkStart w:id="186" w:name="_Toc5245"/>
      <w:bookmarkStart w:id="187" w:name="_Toc3161"/>
      <w:bookmarkStart w:id="188" w:name="_Toc22870"/>
      <w:bookmarkStart w:id="189" w:name="_Toc12574"/>
      <w:bookmarkStart w:id="190" w:name="_Toc13929"/>
      <w:r>
        <w:rPr>
          <w:rFonts w:hint="eastAsia" w:ascii="宋体" w:hAnsi="宋体" w:cs="宋体"/>
          <w:b/>
          <w:bCs/>
          <w:color w:val="auto"/>
          <w:sz w:val="28"/>
          <w:szCs w:val="28"/>
          <w:highlight w:val="none"/>
        </w:rPr>
        <w:t>四、开标一览表</w:t>
      </w:r>
      <w:bookmarkEnd w:id="185"/>
      <w:bookmarkEnd w:id="186"/>
      <w:bookmarkEnd w:id="187"/>
      <w:bookmarkEnd w:id="188"/>
      <w:bookmarkEnd w:id="189"/>
      <w:bookmarkEnd w:id="190"/>
    </w:p>
    <w:tbl>
      <w:tblPr>
        <w:tblStyle w:val="27"/>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0"/>
        <w:gridCol w:w="7268"/>
      </w:tblGrid>
      <w:tr w14:paraId="1E5E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970" w:type="dxa"/>
            <w:vAlign w:val="center"/>
          </w:tcPr>
          <w:p w14:paraId="73FCA59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项目名称</w:t>
            </w:r>
          </w:p>
        </w:tc>
        <w:tc>
          <w:tcPr>
            <w:tcW w:w="7268" w:type="dxa"/>
            <w:vAlign w:val="center"/>
          </w:tcPr>
          <w:p w14:paraId="2D5D8AC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 </w:t>
            </w:r>
          </w:p>
        </w:tc>
      </w:tr>
      <w:tr w14:paraId="4E44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970" w:type="dxa"/>
            <w:vAlign w:val="center"/>
          </w:tcPr>
          <w:p w14:paraId="0C8EF0AB">
            <w:pPr>
              <w:spacing w:line="360" w:lineRule="auto"/>
              <w:jc w:val="center"/>
              <w:rPr>
                <w:rFonts w:hint="eastAsia" w:ascii="宋体" w:hAnsi="宋体" w:cs="宋体"/>
                <w:bCs/>
                <w:color w:val="auto"/>
                <w:sz w:val="24"/>
                <w:highlight w:val="none"/>
              </w:rPr>
            </w:pPr>
            <w:r>
              <w:rPr>
                <w:rFonts w:hint="eastAsia" w:ascii="宋体" w:hAnsi="宋体" w:cs="宋体"/>
                <w:color w:val="auto"/>
                <w:sz w:val="24"/>
                <w:highlight w:val="none"/>
              </w:rPr>
              <w:t>项目编号</w:t>
            </w:r>
          </w:p>
        </w:tc>
        <w:tc>
          <w:tcPr>
            <w:tcW w:w="7268" w:type="dxa"/>
            <w:vAlign w:val="center"/>
          </w:tcPr>
          <w:p w14:paraId="56849BC0">
            <w:pPr>
              <w:tabs>
                <w:tab w:val="center" w:pos="4621"/>
              </w:tabs>
              <w:jc w:val="center"/>
              <w:rPr>
                <w:rFonts w:hint="eastAsia" w:ascii="宋体" w:hAnsi="宋体" w:cs="宋体"/>
                <w:bCs/>
                <w:color w:val="auto"/>
                <w:sz w:val="24"/>
                <w:highlight w:val="none"/>
              </w:rPr>
            </w:pPr>
          </w:p>
        </w:tc>
      </w:tr>
      <w:tr w14:paraId="1F7B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970" w:type="dxa"/>
            <w:vAlign w:val="center"/>
          </w:tcPr>
          <w:p w14:paraId="656DC7E4">
            <w:pPr>
              <w:snapToGrid w:val="0"/>
              <w:spacing w:line="44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投标报价</w:t>
            </w:r>
          </w:p>
        </w:tc>
        <w:tc>
          <w:tcPr>
            <w:tcW w:w="7268" w:type="dxa"/>
            <w:vAlign w:val="center"/>
          </w:tcPr>
          <w:p w14:paraId="28B8F7A2">
            <w:pPr>
              <w:spacing w:line="360" w:lineRule="auto"/>
              <w:rPr>
                <w:rFonts w:hint="eastAsia" w:ascii="宋体" w:hAnsi="宋体" w:cs="宋体"/>
                <w:bCs/>
                <w:color w:val="auto"/>
                <w:sz w:val="24"/>
                <w:highlight w:val="none"/>
              </w:rPr>
            </w:pPr>
          </w:p>
          <w:p w14:paraId="0B74FEA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人民币（大写）：</w:t>
            </w:r>
            <w:r>
              <w:rPr>
                <w:rFonts w:hint="eastAsia" w:ascii="宋体" w:hAnsi="宋体" w:cs="宋体"/>
                <w:bCs/>
                <w:color w:val="auto"/>
                <w:sz w:val="24"/>
                <w:highlight w:val="none"/>
                <w:u w:val="single"/>
              </w:rPr>
              <w:t xml:space="preserve">                      </w:t>
            </w:r>
          </w:p>
          <w:p w14:paraId="3F9D9AAD">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p w14:paraId="53245402">
            <w:pPr>
              <w:spacing w:line="360" w:lineRule="auto"/>
              <w:rPr>
                <w:rFonts w:hint="eastAsia" w:ascii="宋体" w:hAnsi="宋体" w:cs="宋体"/>
                <w:color w:val="auto"/>
                <w:highlight w:val="none"/>
              </w:rPr>
            </w:pPr>
          </w:p>
        </w:tc>
      </w:tr>
      <w:tr w14:paraId="73A78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970" w:type="dxa"/>
            <w:vAlign w:val="center"/>
          </w:tcPr>
          <w:p w14:paraId="23A8573A">
            <w:pPr>
              <w:snapToGrid w:val="0"/>
              <w:spacing w:line="440" w:lineRule="exact"/>
              <w:jc w:val="center"/>
              <w:rPr>
                <w:rFonts w:hint="eastAsia" w:ascii="宋体" w:hAnsi="宋体" w:cs="宋体"/>
                <w:bCs/>
                <w:color w:val="auto"/>
                <w:sz w:val="24"/>
                <w:highlight w:val="none"/>
              </w:rPr>
            </w:pPr>
            <w:r>
              <w:rPr>
                <w:rFonts w:hint="eastAsia" w:ascii="宋体" w:hAnsi="宋体" w:cs="宋体"/>
                <w:color w:val="auto"/>
                <w:sz w:val="24"/>
                <w:highlight w:val="none"/>
              </w:rPr>
              <w:t>合同履行期限</w:t>
            </w:r>
          </w:p>
        </w:tc>
        <w:tc>
          <w:tcPr>
            <w:tcW w:w="7268" w:type="dxa"/>
            <w:vAlign w:val="center"/>
          </w:tcPr>
          <w:p w14:paraId="0425EACD">
            <w:pPr>
              <w:widowControl/>
              <w:adjustRightInd w:val="0"/>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日历天内完成全部采购装备的供货，安装、调试、并验收合格后交付甲方使用。</w:t>
            </w:r>
          </w:p>
        </w:tc>
      </w:tr>
      <w:tr w14:paraId="3799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jc w:val="center"/>
        </w:trPr>
        <w:tc>
          <w:tcPr>
            <w:tcW w:w="1970" w:type="dxa"/>
            <w:vAlign w:val="center"/>
          </w:tcPr>
          <w:p w14:paraId="09F22132">
            <w:pPr>
              <w:snapToGrid w:val="0"/>
              <w:spacing w:line="440" w:lineRule="exact"/>
              <w:jc w:val="center"/>
              <w:rPr>
                <w:rFonts w:hint="eastAsia" w:ascii="宋体" w:hAnsi="宋体" w:cs="宋体"/>
                <w:bCs/>
                <w:color w:val="auto"/>
                <w:sz w:val="24"/>
                <w:highlight w:val="none"/>
              </w:rPr>
            </w:pPr>
            <w:r>
              <w:rPr>
                <w:rFonts w:hint="eastAsia"/>
                <w:color w:val="auto"/>
                <w:sz w:val="24"/>
                <w:highlight w:val="none"/>
              </w:rPr>
              <w:t>质量标准</w:t>
            </w:r>
          </w:p>
        </w:tc>
        <w:tc>
          <w:tcPr>
            <w:tcW w:w="7268" w:type="dxa"/>
            <w:vAlign w:val="center"/>
          </w:tcPr>
          <w:p w14:paraId="6C8E228D">
            <w:pPr>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t>合格，产品为全新，未使用过的原装合格正品，质量符合各项技术标准、国家环保要求和国家强制性标准。</w:t>
            </w:r>
          </w:p>
        </w:tc>
      </w:tr>
      <w:tr w14:paraId="493E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970" w:type="dxa"/>
            <w:vAlign w:val="center"/>
          </w:tcPr>
          <w:p w14:paraId="66FDE71D">
            <w:pPr>
              <w:snapToGrid w:val="0"/>
              <w:spacing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免费质</w:t>
            </w:r>
            <w:r>
              <w:rPr>
                <w:rFonts w:hint="eastAsia" w:ascii="宋体" w:hAnsi="宋体" w:cs="宋体"/>
                <w:bCs/>
                <w:color w:val="auto"/>
                <w:sz w:val="24"/>
                <w:highlight w:val="none"/>
              </w:rPr>
              <w:t>保期</w:t>
            </w:r>
          </w:p>
        </w:tc>
        <w:tc>
          <w:tcPr>
            <w:tcW w:w="7268" w:type="dxa"/>
            <w:vAlign w:val="center"/>
          </w:tcPr>
          <w:p w14:paraId="6B8454A7">
            <w:pPr>
              <w:snapToGrid w:val="0"/>
              <w:spacing w:line="440" w:lineRule="exact"/>
              <w:rPr>
                <w:rFonts w:hint="eastAsia" w:ascii="宋体" w:hAnsi="宋体" w:cs="宋体"/>
                <w:bCs/>
                <w:color w:val="auto"/>
                <w:sz w:val="24"/>
                <w:highlight w:val="none"/>
              </w:rPr>
            </w:pPr>
            <w:r>
              <w:rPr>
                <w:rFonts w:hint="eastAsia" w:ascii="宋体" w:hAnsi="宋体" w:cs="宋体"/>
                <w:color w:val="auto"/>
                <w:sz w:val="24"/>
                <w:highlight w:val="none"/>
              </w:rPr>
              <w:t>整体</w:t>
            </w:r>
            <w:r>
              <w:rPr>
                <w:rFonts w:hint="eastAsia" w:ascii="宋体" w:hAnsi="宋体" w:cs="宋体"/>
                <w:color w:val="auto"/>
                <w:kern w:val="0"/>
                <w:sz w:val="24"/>
                <w:highlight w:val="none"/>
              </w:rPr>
              <w:t xml:space="preserve">免费质保期 </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年，</w:t>
            </w:r>
            <w:r>
              <w:rPr>
                <w:rFonts w:hint="eastAsia" w:ascii="宋体" w:hAnsi="宋体" w:cs="宋体"/>
                <w:color w:val="auto"/>
                <w:sz w:val="24"/>
                <w:highlight w:val="none"/>
              </w:rPr>
              <w:t>从验收合格之日起计算。</w:t>
            </w:r>
          </w:p>
        </w:tc>
      </w:tr>
      <w:tr w14:paraId="1244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970" w:type="dxa"/>
            <w:vAlign w:val="center"/>
          </w:tcPr>
          <w:p w14:paraId="0410263C">
            <w:pPr>
              <w:snapToGrid w:val="0"/>
              <w:spacing w:line="440" w:lineRule="exact"/>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项目负责人</w:t>
            </w:r>
          </w:p>
        </w:tc>
        <w:tc>
          <w:tcPr>
            <w:tcW w:w="7268" w:type="dxa"/>
            <w:vAlign w:val="center"/>
          </w:tcPr>
          <w:p w14:paraId="07F2F714">
            <w:pPr>
              <w:snapToGrid w:val="0"/>
              <w:spacing w:line="440" w:lineRule="exact"/>
              <w:rPr>
                <w:rFonts w:hint="eastAsia" w:ascii="宋体" w:hAnsi="宋体" w:cs="宋体"/>
                <w:bCs/>
                <w:color w:val="auto"/>
                <w:sz w:val="24"/>
                <w:highlight w:val="none"/>
                <w:u w:val="single"/>
              </w:rPr>
            </w:pPr>
          </w:p>
        </w:tc>
      </w:tr>
    </w:tbl>
    <w:p w14:paraId="21675AE0">
      <w:pPr>
        <w:spacing w:line="520" w:lineRule="exact"/>
        <w:rPr>
          <w:rFonts w:hint="eastAsia" w:ascii="宋体" w:hAnsi="宋体" w:cs="宋体"/>
          <w:b/>
          <w:color w:val="auto"/>
          <w:w w:val="90"/>
          <w:sz w:val="24"/>
          <w:highlight w:val="none"/>
        </w:rPr>
      </w:pPr>
      <w:r>
        <w:rPr>
          <w:rFonts w:hint="eastAsia" w:ascii="宋体" w:hAnsi="宋体" w:cs="宋体"/>
          <w:b/>
          <w:color w:val="auto"/>
          <w:w w:val="90"/>
          <w:sz w:val="24"/>
          <w:highlight w:val="none"/>
        </w:rPr>
        <w:t>注：投标报价四舍五入，保留两位小数。</w:t>
      </w:r>
    </w:p>
    <w:p w14:paraId="3D00BB6A">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r>
        <w:rPr>
          <w:rFonts w:hint="eastAsia" w:ascii="宋体" w:hAnsi="宋体" w:cs="宋体"/>
          <w:color w:val="auto"/>
          <w:highlight w:val="none"/>
        </w:rPr>
        <w:t>投标人（盖章）：</w:t>
      </w:r>
      <w:r>
        <w:rPr>
          <w:rFonts w:hint="eastAsia" w:ascii="宋体" w:hAnsi="宋体" w:cs="宋体"/>
          <w:color w:val="auto"/>
          <w:highlight w:val="none"/>
          <w:u w:val="single"/>
        </w:rPr>
        <w:t xml:space="preserve">               </w:t>
      </w:r>
    </w:p>
    <w:p w14:paraId="2DB48DD9">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p>
    <w:p w14:paraId="3C2951FA">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r>
        <w:rPr>
          <w:rFonts w:hint="eastAsia" w:ascii="宋体" w:hAnsi="宋体" w:cs="宋体"/>
          <w:color w:val="auto"/>
          <w:highlight w:val="none"/>
        </w:rPr>
        <w:t>法定代表人或其授权代表（签字或盖章）：</w:t>
      </w:r>
      <w:r>
        <w:rPr>
          <w:rFonts w:hint="eastAsia" w:ascii="宋体" w:hAnsi="宋体" w:cs="宋体"/>
          <w:color w:val="auto"/>
          <w:highlight w:val="none"/>
          <w:u w:val="single"/>
        </w:rPr>
        <w:t xml:space="preserve">          </w:t>
      </w:r>
    </w:p>
    <w:p w14:paraId="1621E2D8">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p>
    <w:p w14:paraId="33ED8E92">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r>
        <w:rPr>
          <w:rFonts w:hint="eastAsia" w:ascii="宋体" w:hAnsi="宋体" w:cs="宋体"/>
          <w:color w:val="auto"/>
          <w:highlight w:val="none"/>
        </w:rPr>
        <w:t>时间：        年    月    日</w:t>
      </w:r>
    </w:p>
    <w:p w14:paraId="05F20C78">
      <w:pPr>
        <w:widowControl/>
        <w:tabs>
          <w:tab w:val="left" w:pos="900"/>
        </w:tabs>
        <w:spacing w:line="440" w:lineRule="exact"/>
        <w:rPr>
          <w:rFonts w:hint="eastAsia" w:ascii="宋体" w:hAnsi="宋体" w:cs="宋体"/>
          <w:b/>
          <w:color w:val="auto"/>
          <w:sz w:val="24"/>
          <w:highlight w:val="none"/>
        </w:rPr>
      </w:pPr>
    </w:p>
    <w:p w14:paraId="3768256E">
      <w:pPr>
        <w:widowControl/>
        <w:numPr>
          <w:ilvl w:val="0"/>
          <w:numId w:val="4"/>
        </w:numPr>
        <w:spacing w:line="420" w:lineRule="exact"/>
        <w:jc w:val="center"/>
        <w:outlineLvl w:val="1"/>
        <w:rPr>
          <w:rFonts w:hint="eastAsia" w:ascii="宋体" w:hAnsi="宋体" w:cs="宋体"/>
          <w:b/>
          <w:color w:val="auto"/>
          <w:sz w:val="28"/>
          <w:szCs w:val="28"/>
          <w:highlight w:val="none"/>
        </w:rPr>
      </w:pPr>
      <w:r>
        <w:rPr>
          <w:rFonts w:hint="eastAsia" w:ascii="宋体" w:hAnsi="宋体" w:cs="宋体"/>
          <w:b/>
          <w:color w:val="auto"/>
          <w:sz w:val="24"/>
          <w:highlight w:val="none"/>
        </w:rPr>
        <w:br w:type="page"/>
      </w:r>
      <w:bookmarkStart w:id="191" w:name="_Toc18801"/>
      <w:r>
        <w:rPr>
          <w:rFonts w:hint="eastAsia" w:ascii="宋体" w:hAnsi="宋体" w:cs="宋体"/>
          <w:b/>
          <w:color w:val="auto"/>
          <w:sz w:val="28"/>
          <w:szCs w:val="28"/>
          <w:highlight w:val="none"/>
        </w:rPr>
        <w:t>投标分项明细报价表</w:t>
      </w:r>
      <w:bookmarkEnd w:id="191"/>
    </w:p>
    <w:p w14:paraId="18254C42">
      <w:pPr>
        <w:outlineLvl w:val="1"/>
        <w:rPr>
          <w:rFonts w:hint="eastAsia" w:ascii="宋体" w:hAnsi="宋体" w:cs="宋体"/>
          <w:b/>
          <w:bCs/>
          <w:color w:val="auto"/>
          <w:sz w:val="28"/>
          <w:szCs w:val="28"/>
          <w:highlight w:val="none"/>
        </w:rPr>
      </w:pPr>
      <w:bookmarkStart w:id="192" w:name="_Toc14015"/>
      <w:bookmarkStart w:id="193" w:name="_Toc29953"/>
      <w:bookmarkStart w:id="194" w:name="_Toc32317"/>
      <w:bookmarkStart w:id="195" w:name="_Toc2048"/>
      <w:r>
        <w:rPr>
          <w:rFonts w:hint="eastAsia" w:ascii="宋体" w:hAnsi="宋体" w:cs="宋体"/>
          <w:color w:val="auto"/>
          <w:sz w:val="24"/>
          <w:highlight w:val="none"/>
        </w:rPr>
        <w:t>详见附件</w:t>
      </w:r>
    </w:p>
    <w:p w14:paraId="6CAA0037">
      <w:pPr>
        <w:jc w:val="center"/>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六、技术条款偏离表</w:t>
      </w:r>
      <w:bookmarkEnd w:id="192"/>
      <w:bookmarkEnd w:id="193"/>
      <w:bookmarkEnd w:id="194"/>
      <w:bookmarkEnd w:id="195"/>
    </w:p>
    <w:p w14:paraId="644D88FE">
      <w:pPr>
        <w:pStyle w:val="51"/>
        <w:jc w:val="center"/>
        <w:rPr>
          <w:rFonts w:hint="eastAsia" w:ascii="宋体" w:hAnsi="宋体" w:cs="宋体"/>
          <w:color w:val="auto"/>
          <w:highlight w:val="none"/>
        </w:rPr>
      </w:pPr>
    </w:p>
    <w:p w14:paraId="0627C922">
      <w:pPr>
        <w:rPr>
          <w:rFonts w:hint="eastAsia" w:ascii="宋体" w:hAnsi="宋体" w:eastAsia="宋体" w:cs="宋体"/>
          <w:color w:val="auto"/>
          <w:sz w:val="24"/>
          <w:highlight w:val="none"/>
          <w:lang w:eastAsia="zh-CN"/>
        </w:rPr>
      </w:pPr>
      <w:bookmarkStart w:id="196" w:name="_Toc21273"/>
      <w:bookmarkStart w:id="197" w:name="_Toc23059"/>
      <w:bookmarkStart w:id="198" w:name="_Toc14121"/>
      <w:bookmarkStart w:id="199" w:name="_Toc18909"/>
      <w:bookmarkStart w:id="200" w:name="_Toc13304"/>
      <w:bookmarkStart w:id="201" w:name="_Toc2511"/>
      <w:bookmarkStart w:id="202" w:name="_Toc1730"/>
      <w:bookmarkStart w:id="203" w:name="_Toc26070"/>
      <w:bookmarkStart w:id="204" w:name="_Toc15092"/>
      <w:bookmarkStart w:id="205" w:name="_Toc17469"/>
      <w:bookmarkStart w:id="206" w:name="_Toc438714876"/>
      <w:bookmarkStart w:id="207" w:name="_Toc438714094"/>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响水县自来水厂设备更新及自控系统改造提升工程</w:t>
      </w:r>
    </w:p>
    <w:p w14:paraId="0E3F4D8C">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项目编号：</w:t>
      </w:r>
    </w:p>
    <w:p w14:paraId="7553049C">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特别说明：投标设备清单中采购方有权对清单的项和量进行增减。</w:t>
      </w:r>
      <w:r>
        <w:rPr>
          <w:rFonts w:hint="eastAsia" w:ascii="宋体" w:hAnsi="宋体" w:eastAsia="宋体" w:cs="宋体"/>
          <w:color w:val="auto"/>
          <w:sz w:val="24"/>
          <w:highlight w:val="none"/>
          <w:lang w:eastAsia="zh-CN"/>
        </w:rPr>
        <w:t xml:space="preserve"> </w:t>
      </w:r>
    </w:p>
    <w:tbl>
      <w:tblPr>
        <w:tblStyle w:val="27"/>
        <w:tblW w:w="9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2"/>
        <w:gridCol w:w="1167"/>
        <w:gridCol w:w="2659"/>
        <w:gridCol w:w="2301"/>
        <w:gridCol w:w="1365"/>
        <w:gridCol w:w="1420"/>
      </w:tblGrid>
      <w:tr w14:paraId="4E4E6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rPr>
        <w:tc>
          <w:tcPr>
            <w:tcW w:w="572" w:type="dxa"/>
            <w:tcMar>
              <w:top w:w="12" w:type="dxa"/>
              <w:left w:w="12" w:type="dxa"/>
              <w:right w:w="12" w:type="dxa"/>
            </w:tcMar>
            <w:vAlign w:val="center"/>
          </w:tcPr>
          <w:p w14:paraId="4196D2A6">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序号</w:t>
            </w:r>
          </w:p>
        </w:tc>
        <w:tc>
          <w:tcPr>
            <w:tcW w:w="1167" w:type="dxa"/>
            <w:tcMar>
              <w:top w:w="12" w:type="dxa"/>
              <w:left w:w="12" w:type="dxa"/>
              <w:right w:w="12" w:type="dxa"/>
            </w:tcMar>
            <w:vAlign w:val="center"/>
          </w:tcPr>
          <w:p w14:paraId="3A1BB6AF">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产品名称</w:t>
            </w:r>
          </w:p>
        </w:tc>
        <w:tc>
          <w:tcPr>
            <w:tcW w:w="2659" w:type="dxa"/>
            <w:tcMar>
              <w:top w:w="12" w:type="dxa"/>
              <w:left w:w="12" w:type="dxa"/>
              <w:right w:w="12" w:type="dxa"/>
            </w:tcMar>
            <w:vAlign w:val="center"/>
          </w:tcPr>
          <w:p w14:paraId="79D1F390">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性能参数</w:t>
            </w:r>
          </w:p>
        </w:tc>
        <w:tc>
          <w:tcPr>
            <w:tcW w:w="2301" w:type="dxa"/>
            <w:tcMar>
              <w:top w:w="12" w:type="dxa"/>
              <w:left w:w="12" w:type="dxa"/>
              <w:right w:w="12" w:type="dxa"/>
            </w:tcMar>
            <w:vAlign w:val="center"/>
          </w:tcPr>
          <w:p w14:paraId="6FF3E2EC">
            <w:pPr>
              <w:tabs>
                <w:tab w:val="left" w:pos="2814"/>
              </w:tabs>
              <w:ind w:left="120" w:leftChars="57"/>
              <w:jc w:val="center"/>
              <w:rPr>
                <w:rFonts w:hint="eastAsia" w:ascii="宋体" w:hAnsi="宋体" w:cs="宋体"/>
                <w:color w:val="auto"/>
                <w:kern w:val="0"/>
                <w:sz w:val="24"/>
                <w:highlight w:val="none"/>
                <w:lang w:bidi="ar"/>
              </w:rPr>
            </w:pPr>
            <w:r>
              <w:rPr>
                <w:rFonts w:hint="eastAsia" w:ascii="宋体" w:hAnsi="宋体" w:cs="宋体"/>
                <w:color w:val="auto"/>
                <w:sz w:val="24"/>
                <w:highlight w:val="none"/>
              </w:rPr>
              <w:t>投标文件中作出的技术响应</w:t>
            </w:r>
          </w:p>
        </w:tc>
        <w:tc>
          <w:tcPr>
            <w:tcW w:w="1365" w:type="dxa"/>
            <w:tcMar>
              <w:top w:w="12" w:type="dxa"/>
              <w:left w:w="12" w:type="dxa"/>
              <w:right w:w="12" w:type="dxa"/>
            </w:tcMar>
            <w:vAlign w:val="center"/>
          </w:tcPr>
          <w:p w14:paraId="7ECDA665">
            <w:pPr>
              <w:tabs>
                <w:tab w:val="left" w:pos="2814"/>
              </w:tabs>
              <w:jc w:val="center"/>
              <w:rPr>
                <w:rFonts w:hint="eastAsia" w:ascii="宋体" w:hAnsi="宋体" w:cs="宋体"/>
                <w:color w:val="auto"/>
                <w:kern w:val="0"/>
                <w:sz w:val="24"/>
                <w:highlight w:val="none"/>
                <w:lang w:bidi="ar"/>
              </w:rPr>
            </w:pPr>
            <w:r>
              <w:rPr>
                <w:rFonts w:hint="eastAsia" w:ascii="宋体" w:hAnsi="宋体" w:cs="宋体"/>
                <w:color w:val="auto"/>
                <w:sz w:val="24"/>
                <w:highlight w:val="none"/>
              </w:rPr>
              <w:t>正负偏离</w:t>
            </w:r>
          </w:p>
        </w:tc>
        <w:tc>
          <w:tcPr>
            <w:tcW w:w="1420" w:type="dxa"/>
            <w:tcMar>
              <w:top w:w="12" w:type="dxa"/>
              <w:left w:w="12" w:type="dxa"/>
              <w:right w:w="12" w:type="dxa"/>
            </w:tcMar>
            <w:vAlign w:val="center"/>
          </w:tcPr>
          <w:p w14:paraId="708AD5E2">
            <w:pPr>
              <w:tabs>
                <w:tab w:val="left" w:pos="2814"/>
              </w:tabs>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相关材料所在页码</w:t>
            </w:r>
          </w:p>
        </w:tc>
      </w:tr>
      <w:tr w14:paraId="72E54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0057D88A">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1 </w:t>
            </w:r>
          </w:p>
        </w:tc>
        <w:tc>
          <w:tcPr>
            <w:tcW w:w="1167" w:type="dxa"/>
            <w:tcMar>
              <w:top w:w="12" w:type="dxa"/>
              <w:left w:w="12" w:type="dxa"/>
              <w:right w:w="12" w:type="dxa"/>
            </w:tcMar>
            <w:vAlign w:val="center"/>
          </w:tcPr>
          <w:p w14:paraId="60ACE0F8">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34DDAF44">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56A40672">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3F3245F1">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76E76597">
            <w:pPr>
              <w:widowControl/>
              <w:spacing w:line="320" w:lineRule="exact"/>
              <w:jc w:val="left"/>
              <w:textAlignment w:val="center"/>
              <w:rPr>
                <w:rFonts w:hint="eastAsia" w:ascii="宋体" w:hAnsi="宋体" w:cs="宋体"/>
                <w:color w:val="auto"/>
                <w:kern w:val="0"/>
                <w:sz w:val="24"/>
                <w:highlight w:val="none"/>
                <w:lang w:bidi="ar"/>
              </w:rPr>
            </w:pPr>
          </w:p>
        </w:tc>
      </w:tr>
      <w:tr w14:paraId="2AE4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11D988CB">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2 </w:t>
            </w:r>
          </w:p>
        </w:tc>
        <w:tc>
          <w:tcPr>
            <w:tcW w:w="1167" w:type="dxa"/>
            <w:tcMar>
              <w:top w:w="12" w:type="dxa"/>
              <w:left w:w="12" w:type="dxa"/>
              <w:right w:w="12" w:type="dxa"/>
            </w:tcMar>
            <w:vAlign w:val="center"/>
          </w:tcPr>
          <w:p w14:paraId="4F0C3F0A">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7DE5DC1D">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437B666F">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37B7F954">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35D50386">
            <w:pPr>
              <w:widowControl/>
              <w:spacing w:line="320" w:lineRule="exact"/>
              <w:jc w:val="left"/>
              <w:textAlignment w:val="center"/>
              <w:rPr>
                <w:rFonts w:hint="eastAsia" w:ascii="宋体" w:hAnsi="宋体" w:cs="宋体"/>
                <w:color w:val="auto"/>
                <w:kern w:val="0"/>
                <w:sz w:val="24"/>
                <w:highlight w:val="none"/>
                <w:lang w:bidi="ar"/>
              </w:rPr>
            </w:pPr>
          </w:p>
        </w:tc>
      </w:tr>
      <w:tr w14:paraId="7C3D2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37E4F4C5">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3 </w:t>
            </w:r>
          </w:p>
        </w:tc>
        <w:tc>
          <w:tcPr>
            <w:tcW w:w="1167" w:type="dxa"/>
            <w:tcMar>
              <w:top w:w="12" w:type="dxa"/>
              <w:left w:w="12" w:type="dxa"/>
              <w:right w:w="12" w:type="dxa"/>
            </w:tcMar>
            <w:vAlign w:val="center"/>
          </w:tcPr>
          <w:p w14:paraId="51C5DE23">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0199D202">
            <w:pPr>
              <w:widowControl/>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3CE7F2D0">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48A8F980">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09BF1B9A">
            <w:pPr>
              <w:widowControl/>
              <w:spacing w:line="320" w:lineRule="exact"/>
              <w:jc w:val="left"/>
              <w:textAlignment w:val="center"/>
              <w:rPr>
                <w:rFonts w:hint="eastAsia" w:ascii="宋体" w:hAnsi="宋体" w:cs="宋体"/>
                <w:color w:val="auto"/>
                <w:kern w:val="0"/>
                <w:sz w:val="24"/>
                <w:highlight w:val="none"/>
                <w:lang w:bidi="ar"/>
              </w:rPr>
            </w:pPr>
          </w:p>
        </w:tc>
      </w:tr>
      <w:tr w14:paraId="427F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7870E4F6">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4 </w:t>
            </w:r>
          </w:p>
        </w:tc>
        <w:tc>
          <w:tcPr>
            <w:tcW w:w="1167" w:type="dxa"/>
            <w:tcMar>
              <w:top w:w="12" w:type="dxa"/>
              <w:left w:w="12" w:type="dxa"/>
              <w:right w:w="12" w:type="dxa"/>
            </w:tcMar>
            <w:vAlign w:val="center"/>
          </w:tcPr>
          <w:p w14:paraId="23F30180">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4FAC6BD2">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50B06C1C">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6AA40441">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2849867A">
            <w:pPr>
              <w:widowControl/>
              <w:spacing w:line="320" w:lineRule="exact"/>
              <w:jc w:val="left"/>
              <w:textAlignment w:val="center"/>
              <w:rPr>
                <w:rFonts w:hint="eastAsia" w:ascii="宋体" w:hAnsi="宋体" w:cs="宋体"/>
                <w:color w:val="auto"/>
                <w:kern w:val="0"/>
                <w:sz w:val="24"/>
                <w:highlight w:val="none"/>
                <w:lang w:bidi="ar"/>
              </w:rPr>
            </w:pPr>
          </w:p>
        </w:tc>
      </w:tr>
      <w:tr w14:paraId="48479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75661212">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5 </w:t>
            </w:r>
          </w:p>
        </w:tc>
        <w:tc>
          <w:tcPr>
            <w:tcW w:w="1167" w:type="dxa"/>
            <w:tcMar>
              <w:top w:w="12" w:type="dxa"/>
              <w:left w:w="12" w:type="dxa"/>
              <w:right w:w="12" w:type="dxa"/>
            </w:tcMar>
            <w:vAlign w:val="center"/>
          </w:tcPr>
          <w:p w14:paraId="5FD8490F">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1AD9B3C5">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6505F7EA">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705C6D84">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779ED1F8">
            <w:pPr>
              <w:widowControl/>
              <w:spacing w:line="320" w:lineRule="exact"/>
              <w:jc w:val="left"/>
              <w:textAlignment w:val="center"/>
              <w:rPr>
                <w:rFonts w:hint="eastAsia" w:ascii="宋体" w:hAnsi="宋体" w:cs="宋体"/>
                <w:color w:val="auto"/>
                <w:kern w:val="0"/>
                <w:sz w:val="24"/>
                <w:highlight w:val="none"/>
                <w:lang w:bidi="ar"/>
              </w:rPr>
            </w:pPr>
          </w:p>
        </w:tc>
      </w:tr>
      <w:tr w14:paraId="253B6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4A157AAC">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6 </w:t>
            </w:r>
          </w:p>
        </w:tc>
        <w:tc>
          <w:tcPr>
            <w:tcW w:w="1167" w:type="dxa"/>
            <w:tcMar>
              <w:top w:w="12" w:type="dxa"/>
              <w:left w:w="12" w:type="dxa"/>
              <w:right w:w="12" w:type="dxa"/>
            </w:tcMar>
            <w:vAlign w:val="center"/>
          </w:tcPr>
          <w:p w14:paraId="3A091FA6">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3812E567">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0489AC53">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702F14DD">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0500E65C">
            <w:pPr>
              <w:widowControl/>
              <w:spacing w:line="320" w:lineRule="exact"/>
              <w:jc w:val="left"/>
              <w:textAlignment w:val="center"/>
              <w:rPr>
                <w:rFonts w:hint="eastAsia" w:ascii="宋体" w:hAnsi="宋体" w:cs="宋体"/>
                <w:color w:val="auto"/>
                <w:kern w:val="0"/>
                <w:sz w:val="24"/>
                <w:highlight w:val="none"/>
                <w:lang w:bidi="ar"/>
              </w:rPr>
            </w:pPr>
          </w:p>
        </w:tc>
      </w:tr>
      <w:tr w14:paraId="0249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2B510DE9">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7 </w:t>
            </w:r>
          </w:p>
        </w:tc>
        <w:tc>
          <w:tcPr>
            <w:tcW w:w="1167" w:type="dxa"/>
            <w:tcMar>
              <w:top w:w="12" w:type="dxa"/>
              <w:left w:w="12" w:type="dxa"/>
              <w:right w:w="12" w:type="dxa"/>
            </w:tcMar>
            <w:vAlign w:val="center"/>
          </w:tcPr>
          <w:p w14:paraId="6B2049A6">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29E0B159">
            <w:pPr>
              <w:jc w:val="left"/>
              <w:rPr>
                <w:rFonts w:hint="eastAsia" w:ascii="宋体" w:hAnsi="宋体" w:cs="宋体"/>
                <w:color w:val="auto"/>
                <w:sz w:val="24"/>
                <w:highlight w:val="none"/>
              </w:rPr>
            </w:pPr>
          </w:p>
        </w:tc>
        <w:tc>
          <w:tcPr>
            <w:tcW w:w="2301" w:type="dxa"/>
            <w:tcMar>
              <w:top w:w="12" w:type="dxa"/>
              <w:left w:w="12" w:type="dxa"/>
              <w:right w:w="12" w:type="dxa"/>
            </w:tcMar>
            <w:vAlign w:val="center"/>
          </w:tcPr>
          <w:p w14:paraId="5CD504E8">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2BA2AE4E">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7400BD14">
            <w:pPr>
              <w:widowControl/>
              <w:spacing w:line="320" w:lineRule="exact"/>
              <w:jc w:val="left"/>
              <w:textAlignment w:val="center"/>
              <w:rPr>
                <w:rFonts w:hint="eastAsia" w:ascii="宋体" w:hAnsi="宋体" w:cs="宋体"/>
                <w:color w:val="auto"/>
                <w:kern w:val="0"/>
                <w:sz w:val="24"/>
                <w:highlight w:val="none"/>
                <w:lang w:bidi="ar"/>
              </w:rPr>
            </w:pPr>
          </w:p>
        </w:tc>
      </w:tr>
      <w:tr w14:paraId="6131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1486D45F">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8 </w:t>
            </w:r>
          </w:p>
        </w:tc>
        <w:tc>
          <w:tcPr>
            <w:tcW w:w="1167" w:type="dxa"/>
            <w:tcMar>
              <w:top w:w="12" w:type="dxa"/>
              <w:left w:w="12" w:type="dxa"/>
              <w:right w:w="12" w:type="dxa"/>
            </w:tcMar>
            <w:vAlign w:val="center"/>
          </w:tcPr>
          <w:p w14:paraId="7D5E5444">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4C14CC7B">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55685BEC">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61A0E7D2">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4F192080">
            <w:pPr>
              <w:widowControl/>
              <w:spacing w:line="320" w:lineRule="exact"/>
              <w:jc w:val="left"/>
              <w:textAlignment w:val="center"/>
              <w:rPr>
                <w:rFonts w:hint="eastAsia" w:ascii="宋体" w:hAnsi="宋体" w:cs="宋体"/>
                <w:color w:val="auto"/>
                <w:kern w:val="0"/>
                <w:sz w:val="24"/>
                <w:highlight w:val="none"/>
                <w:lang w:bidi="ar"/>
              </w:rPr>
            </w:pPr>
          </w:p>
        </w:tc>
      </w:tr>
      <w:tr w14:paraId="2F40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578519C5">
            <w:pPr>
              <w:widowControl/>
              <w:spacing w:line="320" w:lineRule="exac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9 </w:t>
            </w:r>
          </w:p>
        </w:tc>
        <w:tc>
          <w:tcPr>
            <w:tcW w:w="1167" w:type="dxa"/>
            <w:tcMar>
              <w:top w:w="12" w:type="dxa"/>
              <w:left w:w="12" w:type="dxa"/>
              <w:right w:w="12" w:type="dxa"/>
            </w:tcMar>
            <w:vAlign w:val="center"/>
          </w:tcPr>
          <w:p w14:paraId="3B401852">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70DC5BF2">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5060BDC3">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763E2770">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5B900E8F">
            <w:pPr>
              <w:widowControl/>
              <w:spacing w:line="320" w:lineRule="exact"/>
              <w:jc w:val="left"/>
              <w:textAlignment w:val="center"/>
              <w:rPr>
                <w:rFonts w:hint="eastAsia" w:ascii="宋体" w:hAnsi="宋体" w:cs="宋体"/>
                <w:color w:val="auto"/>
                <w:kern w:val="0"/>
                <w:sz w:val="24"/>
                <w:highlight w:val="none"/>
                <w:lang w:bidi="ar"/>
              </w:rPr>
            </w:pPr>
          </w:p>
        </w:tc>
      </w:tr>
      <w:tr w14:paraId="71D31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467592C0">
            <w:pPr>
              <w:widowControl/>
              <w:spacing w:line="320" w:lineRule="exac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10</w:t>
            </w:r>
          </w:p>
        </w:tc>
        <w:tc>
          <w:tcPr>
            <w:tcW w:w="1167" w:type="dxa"/>
            <w:tcMar>
              <w:top w:w="12" w:type="dxa"/>
              <w:left w:w="12" w:type="dxa"/>
              <w:right w:w="12" w:type="dxa"/>
            </w:tcMar>
            <w:vAlign w:val="center"/>
          </w:tcPr>
          <w:p w14:paraId="1CBBC14C">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536013B5">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66E1F63D">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7A77E5ED">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7E4781A4">
            <w:pPr>
              <w:widowControl/>
              <w:spacing w:line="320" w:lineRule="exact"/>
              <w:jc w:val="left"/>
              <w:textAlignment w:val="center"/>
              <w:rPr>
                <w:rFonts w:hint="eastAsia" w:ascii="宋体" w:hAnsi="宋体" w:cs="宋体"/>
                <w:color w:val="auto"/>
                <w:kern w:val="0"/>
                <w:sz w:val="24"/>
                <w:highlight w:val="none"/>
                <w:lang w:bidi="ar"/>
              </w:rPr>
            </w:pPr>
          </w:p>
        </w:tc>
      </w:tr>
      <w:tr w14:paraId="4AD6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72" w:type="dxa"/>
            <w:tcMar>
              <w:top w:w="12" w:type="dxa"/>
              <w:left w:w="12" w:type="dxa"/>
              <w:right w:w="12" w:type="dxa"/>
            </w:tcMar>
            <w:vAlign w:val="center"/>
          </w:tcPr>
          <w:p w14:paraId="5D619147">
            <w:pPr>
              <w:widowControl/>
              <w:spacing w:line="320" w:lineRule="exac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w:t>
            </w:r>
          </w:p>
        </w:tc>
        <w:tc>
          <w:tcPr>
            <w:tcW w:w="1167" w:type="dxa"/>
            <w:tcMar>
              <w:top w:w="12" w:type="dxa"/>
              <w:left w:w="12" w:type="dxa"/>
              <w:right w:w="12" w:type="dxa"/>
            </w:tcMar>
            <w:vAlign w:val="center"/>
          </w:tcPr>
          <w:p w14:paraId="668D65AA">
            <w:pPr>
              <w:widowControl/>
              <w:jc w:val="left"/>
              <w:textAlignment w:val="center"/>
              <w:rPr>
                <w:rFonts w:hint="eastAsia" w:ascii="宋体" w:hAnsi="宋体" w:cs="宋体"/>
                <w:color w:val="auto"/>
                <w:sz w:val="24"/>
                <w:highlight w:val="none"/>
              </w:rPr>
            </w:pPr>
          </w:p>
        </w:tc>
        <w:tc>
          <w:tcPr>
            <w:tcW w:w="2659" w:type="dxa"/>
            <w:tcMar>
              <w:top w:w="12" w:type="dxa"/>
              <w:left w:w="12" w:type="dxa"/>
              <w:right w:w="12" w:type="dxa"/>
            </w:tcMar>
            <w:vAlign w:val="center"/>
          </w:tcPr>
          <w:p w14:paraId="534A6DDF">
            <w:pPr>
              <w:widowControl/>
              <w:jc w:val="left"/>
              <w:textAlignment w:val="center"/>
              <w:rPr>
                <w:rFonts w:hint="eastAsia" w:ascii="宋体" w:hAnsi="宋体" w:cs="宋体"/>
                <w:color w:val="auto"/>
                <w:sz w:val="24"/>
                <w:highlight w:val="none"/>
              </w:rPr>
            </w:pPr>
          </w:p>
        </w:tc>
        <w:tc>
          <w:tcPr>
            <w:tcW w:w="2301" w:type="dxa"/>
            <w:tcMar>
              <w:top w:w="12" w:type="dxa"/>
              <w:left w:w="12" w:type="dxa"/>
              <w:right w:w="12" w:type="dxa"/>
            </w:tcMar>
            <w:vAlign w:val="center"/>
          </w:tcPr>
          <w:p w14:paraId="433B3B2F">
            <w:pPr>
              <w:widowControl/>
              <w:spacing w:line="320" w:lineRule="exact"/>
              <w:jc w:val="left"/>
              <w:textAlignment w:val="center"/>
              <w:rPr>
                <w:rFonts w:hint="eastAsia" w:ascii="宋体" w:hAnsi="宋体" w:cs="宋体"/>
                <w:color w:val="auto"/>
                <w:kern w:val="0"/>
                <w:sz w:val="24"/>
                <w:highlight w:val="none"/>
                <w:lang w:bidi="ar"/>
              </w:rPr>
            </w:pPr>
          </w:p>
        </w:tc>
        <w:tc>
          <w:tcPr>
            <w:tcW w:w="1365" w:type="dxa"/>
            <w:tcMar>
              <w:top w:w="12" w:type="dxa"/>
              <w:left w:w="12" w:type="dxa"/>
              <w:right w:w="12" w:type="dxa"/>
            </w:tcMar>
            <w:vAlign w:val="center"/>
          </w:tcPr>
          <w:p w14:paraId="436400EE">
            <w:pPr>
              <w:widowControl/>
              <w:spacing w:line="320" w:lineRule="exact"/>
              <w:jc w:val="left"/>
              <w:textAlignment w:val="center"/>
              <w:rPr>
                <w:rFonts w:hint="eastAsia" w:ascii="宋体" w:hAnsi="宋体" w:cs="宋体"/>
                <w:color w:val="auto"/>
                <w:kern w:val="0"/>
                <w:sz w:val="24"/>
                <w:highlight w:val="none"/>
                <w:lang w:bidi="ar"/>
              </w:rPr>
            </w:pPr>
          </w:p>
        </w:tc>
        <w:tc>
          <w:tcPr>
            <w:tcW w:w="1420" w:type="dxa"/>
            <w:tcMar>
              <w:top w:w="12" w:type="dxa"/>
              <w:left w:w="12" w:type="dxa"/>
              <w:right w:w="12" w:type="dxa"/>
            </w:tcMar>
            <w:vAlign w:val="center"/>
          </w:tcPr>
          <w:p w14:paraId="6AE0F7C8">
            <w:pPr>
              <w:widowControl/>
              <w:spacing w:line="320" w:lineRule="exact"/>
              <w:jc w:val="left"/>
              <w:textAlignment w:val="center"/>
              <w:rPr>
                <w:rFonts w:hint="eastAsia" w:ascii="宋体" w:hAnsi="宋体" w:cs="宋体"/>
                <w:color w:val="auto"/>
                <w:kern w:val="0"/>
                <w:sz w:val="24"/>
                <w:highlight w:val="none"/>
                <w:lang w:bidi="ar"/>
              </w:rPr>
            </w:pPr>
          </w:p>
        </w:tc>
      </w:tr>
    </w:tbl>
    <w:p w14:paraId="2DC6379F">
      <w:pPr>
        <w:widowControl/>
        <w:adjustRightInd w:val="0"/>
        <w:snapToGrid w:val="0"/>
        <w:spacing w:before="80" w:beforeLines="25" w:after="80" w:afterLines="25"/>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注：表中“</w:t>
      </w:r>
      <w:r>
        <w:rPr>
          <w:rFonts w:hint="eastAsia" w:ascii="宋体" w:hAnsi="宋体" w:cs="Arial"/>
          <w:b/>
          <w:bCs/>
          <w:color w:val="auto"/>
          <w:sz w:val="24"/>
          <w:highlight w:val="none"/>
        </w:rPr>
        <w:t>投标文件中作出的技术响应</w:t>
      </w:r>
      <w:r>
        <w:rPr>
          <w:rFonts w:hint="eastAsia" w:ascii="宋体" w:hAnsi="宋体" w:cs="宋体"/>
          <w:b/>
          <w:bCs/>
          <w:color w:val="auto"/>
          <w:sz w:val="24"/>
          <w:highlight w:val="none"/>
        </w:rPr>
        <w:t>”栏应根据所投产品填写具体内容。未填写视为负偏离。</w:t>
      </w:r>
    </w:p>
    <w:p w14:paraId="09F23E61">
      <w:pPr>
        <w:widowControl/>
        <w:adjustRightInd w:val="0"/>
        <w:snapToGrid w:val="0"/>
        <w:spacing w:before="80" w:beforeLines="25" w:after="80" w:afterLines="25"/>
        <w:jc w:val="left"/>
        <w:rPr>
          <w:rFonts w:hint="eastAsia" w:ascii="宋体" w:hAnsi="宋体" w:cs="宋体"/>
          <w:b/>
          <w:bCs/>
          <w:color w:val="auto"/>
          <w:sz w:val="24"/>
          <w:highlight w:val="none"/>
        </w:rPr>
      </w:pPr>
    </w:p>
    <w:p w14:paraId="1290D837">
      <w:pPr>
        <w:tabs>
          <w:tab w:val="left" w:pos="28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投标人（盖章）：</w:t>
      </w:r>
      <w:r>
        <w:rPr>
          <w:rFonts w:hint="eastAsia" w:ascii="宋体" w:hAnsi="宋体" w:cs="宋体"/>
          <w:color w:val="auto"/>
          <w:sz w:val="24"/>
          <w:highlight w:val="none"/>
          <w:u w:val="single"/>
        </w:rPr>
        <w:t xml:space="preserve">               </w:t>
      </w:r>
    </w:p>
    <w:p w14:paraId="7FC1F904">
      <w:pPr>
        <w:tabs>
          <w:tab w:val="left" w:pos="2814"/>
        </w:tabs>
        <w:spacing w:line="360" w:lineRule="auto"/>
        <w:ind w:left="-357" w:leftChars="-170"/>
        <w:rPr>
          <w:rFonts w:hint="eastAsia" w:ascii="宋体" w:hAnsi="宋体" w:cs="宋体"/>
          <w:color w:val="auto"/>
          <w:sz w:val="24"/>
          <w:highlight w:val="none"/>
        </w:rPr>
      </w:pPr>
    </w:p>
    <w:p w14:paraId="08F8D830">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法定代表人或其授权代表（签字或盖章）：</w:t>
      </w:r>
      <w:r>
        <w:rPr>
          <w:rFonts w:hint="eastAsia" w:ascii="宋体" w:hAnsi="宋体" w:cs="宋体"/>
          <w:color w:val="auto"/>
          <w:sz w:val="24"/>
          <w:highlight w:val="none"/>
          <w:u w:val="single"/>
        </w:rPr>
        <w:t xml:space="preserve">          </w:t>
      </w:r>
    </w:p>
    <w:p w14:paraId="3AF40756">
      <w:pPr>
        <w:spacing w:line="360" w:lineRule="auto"/>
        <w:rPr>
          <w:rFonts w:hint="eastAsia" w:ascii="宋体" w:hAnsi="宋体" w:cs="宋体"/>
          <w:color w:val="auto"/>
          <w:sz w:val="28"/>
          <w:szCs w:val="28"/>
          <w:highlight w:val="none"/>
        </w:rPr>
      </w:pPr>
    </w:p>
    <w:p w14:paraId="54A5E34F">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660D95EC">
      <w:pPr>
        <w:spacing w:line="360" w:lineRule="auto"/>
        <w:rPr>
          <w:rFonts w:hint="eastAsia" w:ascii="宋体" w:hAnsi="宋体" w:cs="宋体"/>
          <w:color w:val="auto"/>
          <w:sz w:val="24"/>
          <w:highlight w:val="none"/>
          <w:lang w:val="zh-CN"/>
        </w:rPr>
      </w:pPr>
      <w:r>
        <w:rPr>
          <w:rFonts w:hint="eastAsia" w:ascii="宋体" w:hAnsi="宋体" w:cs="宋体"/>
          <w:b/>
          <w:bCs/>
        </w:rPr>
        <w:t>《主要设备部件参照品牌一览表》</w:t>
      </w:r>
    </w:p>
    <w:tbl>
      <w:tblPr>
        <w:tblStyle w:val="27"/>
        <w:tblW w:w="92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7"/>
        <w:gridCol w:w="2809"/>
        <w:gridCol w:w="3240"/>
        <w:gridCol w:w="2454"/>
      </w:tblGrid>
      <w:tr w14:paraId="6B9D1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94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68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名称</w:t>
            </w:r>
          </w:p>
        </w:tc>
        <w:tc>
          <w:tcPr>
            <w:tcW w:w="3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A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推荐品牌</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D84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14:paraId="7850A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09D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883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电动阀门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303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AVK   VAG   KSB</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79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含配套电动执行器：Auma、Rotork、KSB、AVK</w:t>
            </w:r>
          </w:p>
        </w:tc>
      </w:tr>
      <w:tr w14:paraId="2C6B1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2F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02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手动普通阀门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0B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上海冠龙</w:t>
            </w:r>
            <w:r>
              <w:rPr>
                <w:rFonts w:hint="eastAsia" w:ascii="宋体" w:hAnsi="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株洲南方</w:t>
            </w:r>
            <w:r>
              <w:rPr>
                <w:rFonts w:hint="eastAsia" w:ascii="宋体" w:hAnsi="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天津卡尔斯</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9957">
            <w:pPr>
              <w:jc w:val="center"/>
              <w:rPr>
                <w:rFonts w:hint="eastAsia" w:ascii="宋体" w:hAnsi="宋体" w:eastAsia="宋体" w:cs="宋体"/>
                <w:i w:val="0"/>
                <w:iCs w:val="0"/>
                <w:color w:val="000000"/>
                <w:sz w:val="21"/>
                <w:szCs w:val="21"/>
                <w:u w:val="none"/>
              </w:rPr>
            </w:pPr>
          </w:p>
        </w:tc>
      </w:tr>
      <w:tr w14:paraId="0047B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9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8C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卧式离心泵</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24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凯泉  南方  东方</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05D2">
            <w:pPr>
              <w:jc w:val="center"/>
              <w:rPr>
                <w:rFonts w:hint="eastAsia" w:ascii="宋体" w:hAnsi="宋体" w:eastAsia="宋体" w:cs="宋体"/>
                <w:i w:val="0"/>
                <w:iCs w:val="0"/>
                <w:color w:val="000000"/>
                <w:sz w:val="21"/>
                <w:szCs w:val="21"/>
                <w:u w:val="none"/>
              </w:rPr>
            </w:pPr>
          </w:p>
        </w:tc>
      </w:tr>
      <w:tr w14:paraId="43BAF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926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10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干燥机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C57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阿特拉斯  英科盛世  寿力</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8B9E">
            <w:pPr>
              <w:jc w:val="center"/>
              <w:rPr>
                <w:rFonts w:hint="eastAsia" w:ascii="宋体" w:hAnsi="宋体" w:eastAsia="宋体" w:cs="宋体"/>
                <w:i w:val="0"/>
                <w:iCs w:val="0"/>
                <w:color w:val="000000"/>
                <w:sz w:val="21"/>
                <w:szCs w:val="21"/>
                <w:u w:val="none"/>
              </w:rPr>
            </w:pPr>
          </w:p>
        </w:tc>
      </w:tr>
      <w:tr w14:paraId="4E834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032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1E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空压机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BF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阿特拉斯  英格索兰  德曼</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1E5CA">
            <w:pPr>
              <w:jc w:val="center"/>
              <w:rPr>
                <w:rFonts w:hint="eastAsia" w:ascii="宋体" w:hAnsi="宋体" w:eastAsia="宋体" w:cs="宋体"/>
                <w:i w:val="0"/>
                <w:iCs w:val="0"/>
                <w:color w:val="000000"/>
                <w:sz w:val="21"/>
                <w:szCs w:val="21"/>
                <w:u w:val="none"/>
              </w:rPr>
            </w:pPr>
          </w:p>
        </w:tc>
      </w:tr>
      <w:tr w14:paraId="2E008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EB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E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冷干机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DE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阿特拉斯  英格索兰  博格   </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5350">
            <w:pPr>
              <w:jc w:val="center"/>
              <w:rPr>
                <w:rFonts w:hint="eastAsia" w:ascii="宋体" w:hAnsi="宋体" w:eastAsia="宋体" w:cs="宋体"/>
                <w:i w:val="0"/>
                <w:iCs w:val="0"/>
                <w:color w:val="000000"/>
                <w:sz w:val="21"/>
                <w:szCs w:val="21"/>
                <w:u w:val="none"/>
              </w:rPr>
            </w:pPr>
          </w:p>
        </w:tc>
      </w:tr>
      <w:tr w14:paraId="69129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B6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C7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转子泵</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E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耐驰    西派克   莫诺</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75383">
            <w:pPr>
              <w:jc w:val="center"/>
              <w:rPr>
                <w:rFonts w:hint="eastAsia" w:ascii="宋体" w:hAnsi="宋体" w:eastAsia="宋体" w:cs="宋体"/>
                <w:i w:val="0"/>
                <w:iCs w:val="0"/>
                <w:color w:val="000000"/>
                <w:sz w:val="21"/>
                <w:szCs w:val="21"/>
                <w:u w:val="none"/>
              </w:rPr>
            </w:pPr>
          </w:p>
        </w:tc>
      </w:tr>
      <w:tr w14:paraId="1A49D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29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7B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臭氧分析仪                                     次氯酸钠有效氯在线测定仪</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4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哈希    E+H   WTW</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A056">
            <w:pPr>
              <w:jc w:val="center"/>
              <w:rPr>
                <w:rFonts w:hint="eastAsia" w:ascii="宋体" w:hAnsi="宋体" w:eastAsia="宋体" w:cs="宋体"/>
                <w:i w:val="0"/>
                <w:iCs w:val="0"/>
                <w:color w:val="000000"/>
                <w:sz w:val="21"/>
                <w:szCs w:val="21"/>
                <w:u w:val="none"/>
              </w:rPr>
            </w:pPr>
          </w:p>
        </w:tc>
      </w:tr>
      <w:tr w14:paraId="09439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7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08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搅拌器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BD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米顿罗   凯米尼尔   赛莱默</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77EA9">
            <w:pPr>
              <w:jc w:val="center"/>
              <w:rPr>
                <w:rFonts w:hint="eastAsia" w:ascii="宋体" w:hAnsi="宋体" w:eastAsia="宋体" w:cs="宋体"/>
                <w:i w:val="0"/>
                <w:iCs w:val="0"/>
                <w:color w:val="000000"/>
                <w:sz w:val="21"/>
                <w:szCs w:val="21"/>
                <w:u w:val="none"/>
              </w:rPr>
            </w:pPr>
          </w:p>
        </w:tc>
      </w:tr>
      <w:tr w14:paraId="65FA6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026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3F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电磁流量计</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AF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西门子  ABB   科隆</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1120">
            <w:pPr>
              <w:jc w:val="center"/>
              <w:rPr>
                <w:rFonts w:hint="eastAsia" w:ascii="宋体" w:hAnsi="宋体" w:eastAsia="宋体" w:cs="宋体"/>
                <w:i w:val="0"/>
                <w:iCs w:val="0"/>
                <w:color w:val="000000"/>
                <w:sz w:val="21"/>
                <w:szCs w:val="21"/>
                <w:u w:val="none"/>
              </w:rPr>
            </w:pPr>
          </w:p>
        </w:tc>
      </w:tr>
      <w:tr w14:paraId="2AE3B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8D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39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超声波液位计</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9B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西门子  E+H   科隆</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65AD">
            <w:pPr>
              <w:jc w:val="center"/>
              <w:rPr>
                <w:rFonts w:hint="eastAsia" w:ascii="宋体" w:hAnsi="宋体" w:eastAsia="宋体" w:cs="宋体"/>
                <w:i w:val="0"/>
                <w:iCs w:val="0"/>
                <w:color w:val="000000"/>
                <w:sz w:val="21"/>
                <w:szCs w:val="21"/>
                <w:u w:val="none"/>
              </w:rPr>
            </w:pPr>
          </w:p>
        </w:tc>
      </w:tr>
      <w:tr w14:paraId="058C6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2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CEF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数据库服务器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3FC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DELL   HP   联想</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E610">
            <w:pPr>
              <w:jc w:val="center"/>
              <w:rPr>
                <w:rFonts w:hint="eastAsia" w:ascii="宋体" w:hAnsi="宋体" w:eastAsia="宋体" w:cs="宋体"/>
                <w:i w:val="0"/>
                <w:iCs w:val="0"/>
                <w:color w:val="000000"/>
                <w:sz w:val="21"/>
                <w:szCs w:val="21"/>
                <w:u w:val="none"/>
              </w:rPr>
            </w:pPr>
          </w:p>
        </w:tc>
      </w:tr>
      <w:tr w14:paraId="047E0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89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F5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组态软件                          工业数据库软件</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EEC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IFIX   Intouch   Wincc</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9AD98">
            <w:pPr>
              <w:jc w:val="center"/>
              <w:rPr>
                <w:rFonts w:hint="eastAsia" w:ascii="宋体" w:hAnsi="宋体" w:eastAsia="宋体" w:cs="宋体"/>
                <w:i w:val="0"/>
                <w:iCs w:val="0"/>
                <w:color w:val="000000"/>
                <w:sz w:val="21"/>
                <w:szCs w:val="21"/>
                <w:u w:val="none"/>
              </w:rPr>
            </w:pPr>
          </w:p>
        </w:tc>
      </w:tr>
      <w:tr w14:paraId="6F622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28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B6C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交换机</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6DA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恩创   MOXA   赫斯曼</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CD23">
            <w:pPr>
              <w:jc w:val="center"/>
              <w:rPr>
                <w:rFonts w:hint="eastAsia" w:ascii="宋体" w:hAnsi="宋体" w:eastAsia="宋体" w:cs="宋体"/>
                <w:i w:val="0"/>
                <w:iCs w:val="0"/>
                <w:color w:val="000000"/>
                <w:sz w:val="21"/>
                <w:szCs w:val="21"/>
                <w:u w:val="none"/>
              </w:rPr>
            </w:pPr>
          </w:p>
        </w:tc>
      </w:tr>
      <w:tr w14:paraId="0CE74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D81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E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网管软件</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9E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华为  新华三  锐捷</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2C01">
            <w:pPr>
              <w:rPr>
                <w:rFonts w:hint="eastAsia" w:ascii="宋体" w:hAnsi="宋体" w:eastAsia="宋体" w:cs="宋体"/>
                <w:i w:val="0"/>
                <w:iCs w:val="0"/>
                <w:color w:val="000000"/>
                <w:sz w:val="21"/>
                <w:szCs w:val="21"/>
                <w:u w:val="none"/>
              </w:rPr>
            </w:pPr>
          </w:p>
        </w:tc>
      </w:tr>
      <w:tr w14:paraId="12652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8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59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LED显示屏</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8E2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利亚德  洲明科技  艾比森</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BDF3">
            <w:pPr>
              <w:rPr>
                <w:rFonts w:hint="eastAsia" w:ascii="宋体" w:hAnsi="宋体" w:eastAsia="宋体" w:cs="宋体"/>
                <w:i w:val="0"/>
                <w:iCs w:val="0"/>
                <w:color w:val="000000"/>
                <w:sz w:val="21"/>
                <w:szCs w:val="21"/>
                <w:u w:val="none"/>
              </w:rPr>
            </w:pPr>
          </w:p>
        </w:tc>
      </w:tr>
      <w:tr w14:paraId="4CAD9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731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CD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PLC</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E3E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西门子 罗克韦尔   施耐德</w:t>
            </w:r>
          </w:p>
        </w:tc>
        <w:tc>
          <w:tcPr>
            <w:tcW w:w="2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BB1A">
            <w:pPr>
              <w:rPr>
                <w:rFonts w:hint="eastAsia" w:ascii="宋体" w:hAnsi="宋体" w:eastAsia="宋体" w:cs="宋体"/>
                <w:i w:val="0"/>
                <w:iCs w:val="0"/>
                <w:color w:val="000000"/>
                <w:sz w:val="21"/>
                <w:szCs w:val="21"/>
                <w:u w:val="none"/>
              </w:rPr>
            </w:pPr>
          </w:p>
        </w:tc>
      </w:tr>
    </w:tbl>
    <w:p w14:paraId="1C5DDC8E">
      <w:pPr>
        <w:widowControl/>
        <w:tabs>
          <w:tab w:val="left" w:pos="900"/>
        </w:tabs>
        <w:spacing w:line="440" w:lineRule="exact"/>
        <w:jc w:val="both"/>
        <w:outlineLvl w:val="1"/>
        <w:rPr>
          <w:rFonts w:hint="eastAsia" w:ascii="宋体" w:hAnsi="宋体" w:cs="宋体"/>
          <w:b/>
          <w:bCs/>
          <w:color w:val="auto"/>
          <w:sz w:val="24"/>
          <w:highlight w:val="none"/>
        </w:rPr>
      </w:pPr>
    </w:p>
    <w:p w14:paraId="51935208">
      <w:pPr>
        <w:widowControl/>
        <w:tabs>
          <w:tab w:val="left" w:pos="900"/>
        </w:tabs>
        <w:spacing w:line="440" w:lineRule="exact"/>
        <w:jc w:val="both"/>
        <w:outlineLvl w:val="1"/>
        <w:rPr>
          <w:rFonts w:hint="eastAsia" w:ascii="宋体" w:hAnsi="宋体" w:cs="宋体"/>
          <w:b/>
          <w:bCs/>
          <w:color w:val="auto"/>
          <w:sz w:val="24"/>
          <w:highlight w:val="none"/>
        </w:rPr>
      </w:pPr>
    </w:p>
    <w:p w14:paraId="0C97F47F">
      <w:pPr>
        <w:tabs>
          <w:tab w:val="left" w:pos="28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投标人（盖章）：</w:t>
      </w:r>
      <w:r>
        <w:rPr>
          <w:rFonts w:hint="eastAsia" w:ascii="宋体" w:hAnsi="宋体" w:cs="宋体"/>
          <w:color w:val="auto"/>
          <w:sz w:val="24"/>
          <w:highlight w:val="none"/>
          <w:u w:val="single"/>
        </w:rPr>
        <w:t xml:space="preserve">               </w:t>
      </w:r>
    </w:p>
    <w:p w14:paraId="516D2529">
      <w:pPr>
        <w:tabs>
          <w:tab w:val="left" w:pos="2814"/>
        </w:tabs>
        <w:spacing w:line="360" w:lineRule="auto"/>
        <w:ind w:left="-357" w:leftChars="-170"/>
        <w:rPr>
          <w:rFonts w:hint="eastAsia" w:ascii="宋体" w:hAnsi="宋体" w:cs="宋体"/>
          <w:color w:val="auto"/>
          <w:sz w:val="24"/>
          <w:highlight w:val="none"/>
        </w:rPr>
      </w:pPr>
    </w:p>
    <w:p w14:paraId="254AE47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法定代表人或其授权代表（签字或盖章）：</w:t>
      </w:r>
      <w:r>
        <w:rPr>
          <w:rFonts w:hint="eastAsia" w:ascii="宋体" w:hAnsi="宋体" w:cs="宋体"/>
          <w:color w:val="auto"/>
          <w:sz w:val="24"/>
          <w:highlight w:val="none"/>
          <w:u w:val="single"/>
        </w:rPr>
        <w:t xml:space="preserve">          </w:t>
      </w:r>
    </w:p>
    <w:p w14:paraId="15FB530C">
      <w:pPr>
        <w:spacing w:line="360" w:lineRule="auto"/>
        <w:rPr>
          <w:rFonts w:hint="eastAsia" w:ascii="宋体" w:hAnsi="宋体" w:cs="宋体"/>
          <w:color w:val="auto"/>
          <w:sz w:val="28"/>
          <w:szCs w:val="28"/>
          <w:highlight w:val="none"/>
        </w:rPr>
      </w:pPr>
    </w:p>
    <w:p w14:paraId="0E17BBA7">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A036E76">
      <w:pPr>
        <w:widowControl/>
        <w:tabs>
          <w:tab w:val="left" w:pos="900"/>
        </w:tabs>
        <w:spacing w:line="440" w:lineRule="exact"/>
        <w:jc w:val="both"/>
        <w:outlineLvl w:val="1"/>
        <w:rPr>
          <w:rFonts w:hint="eastAsia" w:ascii="宋体" w:hAnsi="宋体" w:cs="宋体"/>
          <w:b/>
          <w:bCs/>
          <w:color w:val="auto"/>
          <w:sz w:val="28"/>
          <w:szCs w:val="28"/>
          <w:highlight w:val="none"/>
        </w:rPr>
      </w:pPr>
      <w:r>
        <w:rPr>
          <w:rFonts w:hint="eastAsia" w:ascii="宋体" w:hAnsi="宋体" w:cs="宋体"/>
          <w:b/>
          <w:bCs/>
          <w:color w:val="auto"/>
          <w:sz w:val="24"/>
          <w:highlight w:val="none"/>
        </w:rPr>
        <w:br w:type="page"/>
      </w:r>
      <w:bookmarkStart w:id="208" w:name="_Toc29117"/>
      <w:bookmarkStart w:id="209" w:name="_Toc9717"/>
      <w:bookmarkStart w:id="210" w:name="_Toc21259"/>
      <w:bookmarkStart w:id="211" w:name="_Toc27975"/>
      <w:r>
        <w:rPr>
          <w:rFonts w:hint="eastAsia" w:ascii="宋体" w:hAnsi="宋体" w:cs="宋体"/>
          <w:b/>
          <w:bCs/>
          <w:color w:val="auto"/>
          <w:sz w:val="24"/>
          <w:highlight w:val="none"/>
        </w:rPr>
        <w:t>七</w:t>
      </w:r>
      <w:r>
        <w:rPr>
          <w:rFonts w:hint="eastAsia" w:ascii="宋体" w:hAnsi="宋体" w:cs="宋体"/>
          <w:b/>
          <w:bCs/>
          <w:color w:val="auto"/>
          <w:sz w:val="28"/>
          <w:szCs w:val="28"/>
          <w:highlight w:val="none"/>
        </w:rPr>
        <w:t>、</w:t>
      </w:r>
      <w:bookmarkStart w:id="212" w:name="_Toc438714877"/>
      <w:bookmarkStart w:id="213" w:name="_Toc438714095"/>
      <w:r>
        <w:rPr>
          <w:rFonts w:hint="eastAsia" w:ascii="宋体" w:hAnsi="宋体" w:cs="宋体"/>
          <w:b/>
          <w:bCs/>
          <w:color w:val="auto"/>
          <w:sz w:val="28"/>
          <w:szCs w:val="28"/>
          <w:highlight w:val="none"/>
        </w:rPr>
        <w:t>资格证明文件</w:t>
      </w:r>
      <w:bookmarkEnd w:id="196"/>
      <w:bookmarkEnd w:id="197"/>
      <w:bookmarkEnd w:id="198"/>
      <w:bookmarkEnd w:id="199"/>
      <w:bookmarkEnd w:id="200"/>
      <w:bookmarkEnd w:id="201"/>
      <w:bookmarkEnd w:id="202"/>
      <w:bookmarkEnd w:id="203"/>
      <w:bookmarkEnd w:id="204"/>
      <w:bookmarkEnd w:id="208"/>
      <w:bookmarkEnd w:id="209"/>
      <w:bookmarkEnd w:id="210"/>
      <w:bookmarkEnd w:id="211"/>
      <w:bookmarkEnd w:id="212"/>
      <w:bookmarkEnd w:id="213"/>
    </w:p>
    <w:p w14:paraId="7A7F74A2">
      <w:pPr>
        <w:adjustRightInd w:val="0"/>
        <w:snapToGrid w:val="0"/>
        <w:spacing w:line="460" w:lineRule="exact"/>
        <w:jc w:val="center"/>
        <w:rPr>
          <w:rFonts w:hint="eastAsia" w:ascii="宋体" w:hAnsi="宋体" w:cs="宋体"/>
          <w:b/>
          <w:bCs/>
          <w:color w:val="auto"/>
          <w:sz w:val="24"/>
          <w:highlight w:val="none"/>
        </w:rPr>
      </w:pPr>
      <w:bookmarkStart w:id="214" w:name="_Toc4581"/>
      <w:bookmarkStart w:id="215" w:name="_Toc4332"/>
      <w:bookmarkStart w:id="216" w:name="_Toc20238"/>
      <w:bookmarkStart w:id="217" w:name="_Toc28781"/>
      <w:r>
        <w:rPr>
          <w:rFonts w:hint="eastAsia" w:ascii="宋体" w:hAnsi="宋体" w:cs="宋体"/>
          <w:b/>
          <w:bCs/>
          <w:color w:val="auto"/>
          <w:sz w:val="24"/>
          <w:highlight w:val="none"/>
        </w:rPr>
        <w:t>（1）</w:t>
      </w:r>
      <w:bookmarkEnd w:id="214"/>
      <w:bookmarkEnd w:id="215"/>
      <w:bookmarkEnd w:id="216"/>
      <w:bookmarkEnd w:id="217"/>
      <w:r>
        <w:rPr>
          <w:rFonts w:hint="eastAsia" w:ascii="宋体" w:hAnsi="宋体" w:cs="宋体"/>
          <w:b/>
          <w:bCs/>
          <w:color w:val="auto"/>
          <w:sz w:val="24"/>
          <w:highlight w:val="none"/>
        </w:rPr>
        <w:t>书面声明</w:t>
      </w:r>
    </w:p>
    <w:p w14:paraId="687FD759">
      <w:pPr>
        <w:pStyle w:val="50"/>
        <w:adjustRightInd w:val="0"/>
        <w:spacing w:before="80" w:beforeLines="25" w:beforeAutospacing="0" w:after="80" w:afterLines="25" w:afterAutospacing="0" w:line="360" w:lineRule="auto"/>
        <w:ind w:firstLine="480" w:firstLineChars="200"/>
        <w:jc w:val="both"/>
        <w:rPr>
          <w:rFonts w:hint="eastAsia" w:ascii="宋体" w:hAnsi="宋体" w:cs="宋体"/>
          <w:color w:val="auto"/>
          <w:highlight w:val="none"/>
          <w:shd w:val="clear" w:color="auto" w:fill="FFFFFF"/>
        </w:rPr>
      </w:pPr>
      <w:r>
        <w:rPr>
          <w:rFonts w:hint="eastAsia" w:ascii="宋体" w:hAnsi="宋体" w:cs="宋体"/>
          <w:color w:val="auto"/>
          <w:highlight w:val="none"/>
        </w:rPr>
        <w:t>我单位</w:t>
      </w:r>
      <w:r>
        <w:rPr>
          <w:rFonts w:hint="eastAsia" w:ascii="宋体" w:hAnsi="宋体" w:cs="宋体"/>
          <w:color w:val="auto"/>
          <w:highlight w:val="none"/>
          <w:shd w:val="clear" w:color="auto" w:fill="FFFFFF"/>
        </w:rPr>
        <w:t>参加本次采购活动具备如下条件：</w:t>
      </w:r>
      <w:r>
        <w:rPr>
          <w:rFonts w:ascii="Times New Roman" w:hAnsi="Times New Roman"/>
        </w:rPr>
        <w:t>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w:t>
      </w:r>
      <w:r>
        <w:rPr>
          <w:rFonts w:ascii="Times New Roman" w:hAnsi="Times New Roman"/>
          <w:shd w:val="clear" w:color="auto" w:fill="FFFFFF"/>
        </w:rPr>
        <w:t>。</w:t>
      </w:r>
    </w:p>
    <w:p w14:paraId="44323692">
      <w:pPr>
        <w:adjustRightInd w:val="0"/>
        <w:snapToGrid w:val="0"/>
        <w:spacing w:before="80" w:beforeLines="25" w:after="80" w:afterLines="25"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特此</w:t>
      </w:r>
      <w:r>
        <w:rPr>
          <w:rFonts w:hint="eastAsia" w:ascii="宋体" w:hAnsi="宋体" w:cs="宋体"/>
          <w:color w:val="auto"/>
          <w:sz w:val="24"/>
          <w:highlight w:val="none"/>
        </w:rPr>
        <w:t>声明</w:t>
      </w:r>
      <w:r>
        <w:rPr>
          <w:rFonts w:hint="eastAsia" w:ascii="宋体" w:hAnsi="宋体" w:cs="宋体"/>
          <w:color w:val="auto"/>
          <w:sz w:val="24"/>
          <w:highlight w:val="none"/>
          <w:shd w:val="clear" w:color="auto" w:fill="FFFFFF"/>
        </w:rPr>
        <w:t>，如有虚假，贵方可取消我方投标或中标资格。</w:t>
      </w:r>
    </w:p>
    <w:p w14:paraId="29038B3E">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p>
    <w:p w14:paraId="2527AE4C">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r>
        <w:rPr>
          <w:rFonts w:hint="eastAsia" w:ascii="宋体" w:hAnsi="宋体" w:cs="宋体"/>
          <w:color w:val="auto"/>
          <w:highlight w:val="none"/>
        </w:rPr>
        <w:t>投标人（盖章）：</w:t>
      </w:r>
      <w:r>
        <w:rPr>
          <w:rFonts w:hint="eastAsia" w:ascii="宋体" w:hAnsi="宋体" w:cs="宋体"/>
          <w:color w:val="auto"/>
          <w:highlight w:val="none"/>
          <w:u w:val="single"/>
        </w:rPr>
        <w:t xml:space="preserve">               </w:t>
      </w:r>
    </w:p>
    <w:p w14:paraId="5E3B51DB">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p>
    <w:p w14:paraId="54EBCCBF">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r>
        <w:rPr>
          <w:rFonts w:hint="eastAsia" w:ascii="宋体" w:hAnsi="宋体" w:cs="宋体"/>
          <w:color w:val="auto"/>
          <w:highlight w:val="none"/>
        </w:rPr>
        <w:t>法定代表人或其授权代表（签字或盖章）：</w:t>
      </w:r>
      <w:r>
        <w:rPr>
          <w:rFonts w:hint="eastAsia" w:ascii="宋体" w:hAnsi="宋体" w:cs="宋体"/>
          <w:color w:val="auto"/>
          <w:highlight w:val="none"/>
          <w:u w:val="single"/>
        </w:rPr>
        <w:t xml:space="preserve">          </w:t>
      </w:r>
    </w:p>
    <w:p w14:paraId="791DF548">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p>
    <w:p w14:paraId="4BCF49CD">
      <w:pPr>
        <w:pStyle w:val="50"/>
        <w:adjustRightInd w:val="0"/>
        <w:spacing w:before="80" w:beforeLines="25" w:beforeAutospacing="0" w:after="80" w:afterLines="25" w:afterAutospacing="0" w:line="240" w:lineRule="auto"/>
        <w:jc w:val="both"/>
        <w:rPr>
          <w:rFonts w:hint="eastAsia" w:ascii="宋体" w:hAnsi="宋体" w:cs="宋体"/>
          <w:color w:val="auto"/>
          <w:highlight w:val="none"/>
        </w:rPr>
      </w:pPr>
      <w:r>
        <w:rPr>
          <w:rFonts w:hint="eastAsia" w:ascii="宋体" w:hAnsi="宋体" w:cs="宋体"/>
          <w:color w:val="auto"/>
          <w:highlight w:val="none"/>
        </w:rPr>
        <w:t>时间：        年    月    日</w:t>
      </w:r>
    </w:p>
    <w:p w14:paraId="0328EDB8">
      <w:pPr>
        <w:adjustRightInd w:val="0"/>
        <w:snapToGrid w:val="0"/>
        <w:spacing w:line="460" w:lineRule="exact"/>
        <w:rPr>
          <w:rFonts w:hint="eastAsia" w:ascii="宋体" w:hAnsi="宋体" w:cs="宋体"/>
          <w:color w:val="auto"/>
          <w:sz w:val="24"/>
          <w:highlight w:val="none"/>
        </w:rPr>
      </w:pPr>
      <w:bookmarkStart w:id="218" w:name="_Toc13404"/>
      <w:bookmarkStart w:id="219" w:name="_Toc21952"/>
      <w:bookmarkStart w:id="220" w:name="_Toc21088"/>
    </w:p>
    <w:bookmarkEnd w:id="205"/>
    <w:bookmarkEnd w:id="206"/>
    <w:bookmarkEnd w:id="207"/>
    <w:bookmarkEnd w:id="218"/>
    <w:bookmarkEnd w:id="219"/>
    <w:bookmarkEnd w:id="220"/>
    <w:p w14:paraId="70790C05">
      <w:pPr>
        <w:adjustRightInd w:val="0"/>
        <w:snapToGrid w:val="0"/>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（2）、营业执照（副本）原件彩色扫描件并加盖投标人公章；</w:t>
      </w:r>
    </w:p>
    <w:p w14:paraId="79A7995B">
      <w:pPr>
        <w:adjustRightInd w:val="0"/>
        <w:snapToGrid w:val="0"/>
        <w:spacing w:line="460" w:lineRule="exact"/>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lang w:eastAsia="zh-CN"/>
        </w:rPr>
        <w:t>）</w:t>
      </w:r>
      <w:r>
        <w:rPr>
          <w:rFonts w:hint="eastAsia" w:ascii="宋体" w:hAnsi="宋体" w:cs="宋体"/>
          <w:b/>
          <w:color w:val="auto"/>
          <w:sz w:val="24"/>
          <w:highlight w:val="none"/>
        </w:rPr>
        <w:t>信用截图或下载信用报告加盖投标人公章。</w:t>
      </w:r>
    </w:p>
    <w:p w14:paraId="6390CB89">
      <w:pPr>
        <w:spacing w:line="360" w:lineRule="auto"/>
        <w:ind w:left="420" w:leftChars="200"/>
        <w:jc w:val="center"/>
        <w:outlineLvl w:val="1"/>
        <w:rPr>
          <w:rFonts w:hint="eastAsia" w:ascii="宋体" w:hAnsi="宋体" w:cs="宋体"/>
          <w:b/>
          <w:color w:val="auto"/>
          <w:sz w:val="32"/>
          <w:szCs w:val="32"/>
          <w:highlight w:val="none"/>
        </w:rPr>
      </w:pPr>
      <w:r>
        <w:rPr>
          <w:rFonts w:hint="eastAsia" w:ascii="宋体" w:hAnsi="宋体" w:cs="宋体"/>
          <w:color w:val="auto"/>
          <w:sz w:val="24"/>
          <w:highlight w:val="none"/>
        </w:rPr>
        <w:br w:type="page"/>
      </w:r>
      <w:bookmarkStart w:id="221" w:name="_Toc6027"/>
      <w:bookmarkStart w:id="222" w:name="_Toc29680"/>
      <w:bookmarkStart w:id="223" w:name="_Toc22955"/>
      <w:bookmarkStart w:id="224" w:name="_Toc3409"/>
      <w:bookmarkStart w:id="225" w:name="_Toc32113"/>
      <w:r>
        <w:rPr>
          <w:rFonts w:hint="eastAsia" w:ascii="宋体" w:hAnsi="宋体" w:cs="宋体"/>
          <w:b/>
          <w:color w:val="auto"/>
          <w:sz w:val="32"/>
          <w:szCs w:val="32"/>
          <w:highlight w:val="none"/>
        </w:rPr>
        <w:t>八、</w:t>
      </w:r>
      <w:bookmarkEnd w:id="221"/>
      <w:r>
        <w:rPr>
          <w:rFonts w:hint="eastAsia" w:ascii="宋体" w:hAnsi="宋体" w:cs="宋体"/>
          <w:b/>
          <w:color w:val="auto"/>
          <w:sz w:val="32"/>
          <w:szCs w:val="32"/>
          <w:highlight w:val="none"/>
        </w:rPr>
        <w:t>实施方案</w:t>
      </w:r>
    </w:p>
    <w:p w14:paraId="3FB471BC">
      <w:pPr>
        <w:widowControl/>
        <w:spacing w:line="420" w:lineRule="exact"/>
        <w:jc w:val="center"/>
        <w:rPr>
          <w:rFonts w:hint="eastAsia" w:ascii="宋体" w:hAnsi="宋体" w:cs="宋体"/>
          <w:b/>
          <w:color w:val="auto"/>
          <w:sz w:val="24"/>
          <w:highlight w:val="none"/>
        </w:rPr>
      </w:pPr>
      <w:r>
        <w:rPr>
          <w:rFonts w:hint="eastAsia" w:ascii="宋体" w:hAnsi="宋体" w:cs="宋体"/>
          <w:b/>
          <w:color w:val="auto"/>
          <w:sz w:val="24"/>
          <w:highlight w:val="none"/>
        </w:rPr>
        <w:t>（格式自拟）</w:t>
      </w:r>
    </w:p>
    <w:p w14:paraId="73B2B027">
      <w:pPr>
        <w:widowControl/>
        <w:spacing w:line="420" w:lineRule="exact"/>
        <w:jc w:val="center"/>
        <w:rPr>
          <w:rFonts w:hint="eastAsia" w:ascii="宋体" w:hAnsi="宋体" w:cs="宋体"/>
          <w:color w:val="auto"/>
          <w:sz w:val="24"/>
          <w:highlight w:val="none"/>
        </w:rPr>
      </w:pPr>
    </w:p>
    <w:bookmarkEnd w:id="222"/>
    <w:bookmarkEnd w:id="223"/>
    <w:bookmarkEnd w:id="224"/>
    <w:bookmarkEnd w:id="225"/>
    <w:p w14:paraId="688EA638">
      <w:pPr>
        <w:spacing w:before="80" w:beforeLines="25" w:after="80" w:afterLines="25"/>
        <w:ind w:left="420" w:leftChars="200"/>
        <w:jc w:val="center"/>
        <w:rPr>
          <w:rFonts w:hint="eastAsia" w:ascii="宋体" w:hAnsi="宋体" w:cs="宋体"/>
          <w:b/>
          <w:bCs/>
          <w:color w:val="auto"/>
          <w:sz w:val="28"/>
          <w:szCs w:val="28"/>
          <w:highlight w:val="none"/>
        </w:rPr>
      </w:pPr>
    </w:p>
    <w:p w14:paraId="149E1D7F">
      <w:pPr>
        <w:spacing w:line="360" w:lineRule="exact"/>
        <w:jc w:val="center"/>
        <w:rPr>
          <w:rFonts w:hint="eastAsia" w:ascii="宋体" w:hAnsi="宋体" w:cs="宋体"/>
          <w:b/>
          <w:bCs/>
          <w:color w:val="auto"/>
          <w:sz w:val="28"/>
          <w:szCs w:val="28"/>
          <w:highlight w:val="none"/>
        </w:rPr>
      </w:pPr>
    </w:p>
    <w:p w14:paraId="1FFCFBB5">
      <w:pPr>
        <w:spacing w:line="360" w:lineRule="exact"/>
        <w:jc w:val="center"/>
        <w:rPr>
          <w:rFonts w:hint="eastAsia" w:ascii="宋体" w:hAnsi="宋体" w:cs="宋体"/>
          <w:b/>
          <w:bCs/>
          <w:color w:val="auto"/>
          <w:sz w:val="28"/>
          <w:szCs w:val="28"/>
          <w:highlight w:val="none"/>
        </w:rPr>
      </w:pPr>
    </w:p>
    <w:p w14:paraId="46D84724">
      <w:pPr>
        <w:pStyle w:val="41"/>
        <w:rPr>
          <w:rFonts w:hint="eastAsia" w:eastAsia="宋体"/>
          <w:b/>
          <w:bCs/>
          <w:color w:val="auto"/>
          <w:sz w:val="28"/>
          <w:szCs w:val="28"/>
          <w:highlight w:val="none"/>
        </w:rPr>
      </w:pPr>
    </w:p>
    <w:p w14:paraId="0134806B">
      <w:pPr>
        <w:pStyle w:val="41"/>
        <w:rPr>
          <w:rFonts w:hint="eastAsia" w:eastAsia="宋体"/>
          <w:b/>
          <w:bCs/>
          <w:color w:val="auto"/>
          <w:sz w:val="28"/>
          <w:szCs w:val="28"/>
          <w:highlight w:val="none"/>
        </w:rPr>
      </w:pPr>
    </w:p>
    <w:p w14:paraId="5E166309">
      <w:pPr>
        <w:pStyle w:val="41"/>
        <w:rPr>
          <w:rFonts w:hint="eastAsia" w:eastAsia="宋体"/>
          <w:b/>
          <w:bCs/>
          <w:color w:val="auto"/>
          <w:sz w:val="28"/>
          <w:szCs w:val="28"/>
          <w:highlight w:val="none"/>
        </w:rPr>
      </w:pPr>
    </w:p>
    <w:p w14:paraId="3AA5A27B">
      <w:pPr>
        <w:pStyle w:val="41"/>
        <w:rPr>
          <w:rFonts w:hint="eastAsia" w:eastAsia="宋体"/>
          <w:b/>
          <w:bCs/>
          <w:color w:val="auto"/>
          <w:sz w:val="28"/>
          <w:szCs w:val="28"/>
          <w:highlight w:val="none"/>
        </w:rPr>
      </w:pPr>
    </w:p>
    <w:p w14:paraId="723228C2">
      <w:pPr>
        <w:spacing w:line="560" w:lineRule="exact"/>
        <w:jc w:val="center"/>
        <w:rPr>
          <w:rFonts w:hint="eastAsia" w:ascii="宋体" w:hAnsi="宋体" w:cs="宋体"/>
          <w:b/>
          <w:color w:val="auto"/>
          <w:sz w:val="28"/>
          <w:szCs w:val="28"/>
          <w:highlight w:val="none"/>
        </w:rPr>
      </w:pPr>
    </w:p>
    <w:p w14:paraId="2EBEA487">
      <w:pPr>
        <w:pStyle w:val="41"/>
        <w:rPr>
          <w:rFonts w:hint="eastAsia" w:eastAsia="宋体"/>
          <w:b/>
          <w:color w:val="auto"/>
          <w:sz w:val="28"/>
          <w:szCs w:val="28"/>
          <w:highlight w:val="none"/>
        </w:rPr>
      </w:pPr>
    </w:p>
    <w:p w14:paraId="1B45A592">
      <w:pPr>
        <w:pStyle w:val="41"/>
        <w:rPr>
          <w:rFonts w:hint="eastAsia" w:eastAsia="宋体"/>
          <w:b/>
          <w:color w:val="auto"/>
          <w:sz w:val="28"/>
          <w:szCs w:val="28"/>
          <w:highlight w:val="none"/>
        </w:rPr>
      </w:pPr>
    </w:p>
    <w:p w14:paraId="32D4D84B">
      <w:pPr>
        <w:pStyle w:val="41"/>
        <w:rPr>
          <w:rFonts w:hint="eastAsia" w:eastAsia="宋体"/>
          <w:b/>
          <w:color w:val="auto"/>
          <w:sz w:val="28"/>
          <w:szCs w:val="28"/>
          <w:highlight w:val="none"/>
        </w:rPr>
      </w:pPr>
    </w:p>
    <w:p w14:paraId="4F9BBAC2">
      <w:pPr>
        <w:pStyle w:val="41"/>
        <w:rPr>
          <w:rFonts w:hint="eastAsia" w:eastAsia="宋体"/>
          <w:b/>
          <w:color w:val="auto"/>
          <w:sz w:val="28"/>
          <w:szCs w:val="28"/>
          <w:highlight w:val="none"/>
        </w:rPr>
      </w:pPr>
    </w:p>
    <w:p w14:paraId="08DABD79">
      <w:pPr>
        <w:pStyle w:val="41"/>
        <w:rPr>
          <w:rFonts w:hint="eastAsia" w:eastAsia="宋体"/>
          <w:b/>
          <w:color w:val="auto"/>
          <w:sz w:val="28"/>
          <w:szCs w:val="28"/>
          <w:highlight w:val="none"/>
        </w:rPr>
      </w:pPr>
    </w:p>
    <w:p w14:paraId="61C6DA28">
      <w:pPr>
        <w:pStyle w:val="41"/>
        <w:rPr>
          <w:rFonts w:hint="eastAsia" w:eastAsia="宋体"/>
          <w:b/>
          <w:color w:val="auto"/>
          <w:sz w:val="28"/>
          <w:szCs w:val="28"/>
          <w:highlight w:val="none"/>
        </w:rPr>
      </w:pPr>
    </w:p>
    <w:p w14:paraId="37E07280">
      <w:pPr>
        <w:tabs>
          <w:tab w:val="center" w:pos="4621"/>
          <w:tab w:val="left" w:pos="6135"/>
        </w:tabs>
        <w:spacing w:line="360" w:lineRule="auto"/>
        <w:jc w:val="center"/>
        <w:outlineLvl w:val="1"/>
        <w:rPr>
          <w:rFonts w:hint="eastAsia" w:ascii="宋体" w:hAnsi="宋体" w:cs="宋体"/>
          <w:b/>
          <w:bCs/>
          <w:color w:val="auto"/>
          <w:sz w:val="28"/>
          <w:szCs w:val="28"/>
          <w:highlight w:val="none"/>
        </w:rPr>
      </w:pPr>
      <w:bookmarkStart w:id="226" w:name="_Toc26114"/>
      <w:bookmarkStart w:id="227" w:name="_Toc7746"/>
      <w:bookmarkStart w:id="228" w:name="_Toc27652"/>
      <w:bookmarkStart w:id="229" w:name="_Toc13420"/>
    </w:p>
    <w:p w14:paraId="661B8FC8">
      <w:pPr>
        <w:tabs>
          <w:tab w:val="center" w:pos="4621"/>
          <w:tab w:val="left" w:pos="6135"/>
        </w:tabs>
        <w:spacing w:line="360" w:lineRule="auto"/>
        <w:jc w:val="center"/>
        <w:outlineLvl w:val="1"/>
        <w:rPr>
          <w:rFonts w:hint="eastAsia" w:ascii="宋体" w:hAnsi="宋体" w:cs="宋体"/>
          <w:b/>
          <w:bCs/>
          <w:color w:val="auto"/>
          <w:sz w:val="28"/>
          <w:szCs w:val="28"/>
          <w:highlight w:val="none"/>
        </w:rPr>
      </w:pPr>
    </w:p>
    <w:p w14:paraId="0C9536F5">
      <w:pPr>
        <w:pStyle w:val="25"/>
        <w:ind w:firstLine="0" w:firstLineChars="0"/>
        <w:rPr>
          <w:rFonts w:hint="eastAsia" w:ascii="宋体" w:hAnsi="宋体" w:cs="宋体"/>
          <w:b/>
          <w:bCs/>
          <w:color w:val="auto"/>
          <w:sz w:val="28"/>
          <w:szCs w:val="28"/>
          <w:highlight w:val="none"/>
        </w:rPr>
      </w:pPr>
    </w:p>
    <w:p w14:paraId="3B0AB2AD">
      <w:pPr>
        <w:pStyle w:val="25"/>
        <w:ind w:firstLine="0" w:firstLineChars="0"/>
        <w:rPr>
          <w:rFonts w:hint="eastAsia" w:ascii="宋体" w:hAnsi="宋体" w:cs="宋体"/>
          <w:b/>
          <w:bCs/>
          <w:color w:val="auto"/>
          <w:sz w:val="28"/>
          <w:szCs w:val="28"/>
          <w:highlight w:val="none"/>
        </w:rPr>
      </w:pPr>
    </w:p>
    <w:p w14:paraId="5A3F3D27">
      <w:pPr>
        <w:pStyle w:val="25"/>
        <w:ind w:firstLine="0" w:firstLineChars="0"/>
        <w:rPr>
          <w:rFonts w:hint="eastAsia" w:ascii="宋体" w:hAnsi="宋体" w:cs="宋体"/>
          <w:b/>
          <w:bCs/>
          <w:color w:val="auto"/>
          <w:sz w:val="28"/>
          <w:szCs w:val="28"/>
          <w:highlight w:val="none"/>
        </w:rPr>
      </w:pPr>
    </w:p>
    <w:p w14:paraId="5A9AEE35">
      <w:pPr>
        <w:tabs>
          <w:tab w:val="center" w:pos="4621"/>
          <w:tab w:val="left" w:pos="6135"/>
        </w:tabs>
        <w:spacing w:line="360" w:lineRule="auto"/>
        <w:jc w:val="center"/>
        <w:outlineLvl w:val="1"/>
        <w:rPr>
          <w:rFonts w:hint="eastAsia" w:ascii="宋体" w:hAnsi="宋体" w:cs="宋体"/>
          <w:b/>
          <w:bCs/>
          <w:color w:val="auto"/>
          <w:sz w:val="28"/>
          <w:szCs w:val="28"/>
          <w:highlight w:val="none"/>
        </w:rPr>
      </w:pPr>
    </w:p>
    <w:p w14:paraId="3B3D57B1">
      <w:pPr>
        <w:tabs>
          <w:tab w:val="center" w:pos="4621"/>
          <w:tab w:val="left" w:pos="6135"/>
        </w:tabs>
        <w:spacing w:line="360" w:lineRule="auto"/>
        <w:jc w:val="center"/>
        <w:outlineLvl w:val="1"/>
        <w:rPr>
          <w:rFonts w:hint="eastAsia" w:ascii="宋体" w:hAnsi="宋体" w:cs="宋体"/>
          <w:b/>
          <w:bCs/>
          <w:color w:val="auto"/>
          <w:sz w:val="28"/>
          <w:szCs w:val="28"/>
          <w:highlight w:val="none"/>
        </w:rPr>
      </w:pPr>
      <w:bookmarkStart w:id="230" w:name="_Toc603"/>
      <w:r>
        <w:rPr>
          <w:rFonts w:hint="eastAsia" w:ascii="宋体" w:hAnsi="宋体" w:cs="宋体"/>
          <w:b/>
          <w:bCs/>
          <w:color w:val="auto"/>
          <w:sz w:val="28"/>
          <w:szCs w:val="28"/>
          <w:highlight w:val="none"/>
        </w:rPr>
        <w:t>九、采购事前信用承诺书</w:t>
      </w:r>
      <w:bookmarkEnd w:id="226"/>
      <w:bookmarkEnd w:id="227"/>
      <w:bookmarkEnd w:id="228"/>
      <w:bookmarkEnd w:id="229"/>
      <w:bookmarkEnd w:id="230"/>
    </w:p>
    <w:p w14:paraId="58A73FFD">
      <w:pPr>
        <w:widowControl/>
        <w:spacing w:line="420" w:lineRule="exact"/>
        <w:rPr>
          <w:rFonts w:hint="eastAsia" w:ascii="宋体" w:hAnsi="宋体" w:cs="宋体"/>
          <w:color w:val="auto"/>
          <w:sz w:val="28"/>
          <w:szCs w:val="28"/>
          <w:highlight w:val="none"/>
        </w:rPr>
      </w:pPr>
    </w:p>
    <w:p w14:paraId="0179B3FF">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为营造公开、公平、公正、诚实守信的采购交易环境，树立诚信守法的投标人形象，本人代表本单位作出以下承诺：</w:t>
      </w:r>
    </w:p>
    <w:p w14:paraId="2AC20787">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cs="宋体"/>
          <w:color w:val="auto"/>
          <w:sz w:val="24"/>
          <w:highlight w:val="none"/>
          <w:lang w:val="en-US" w:eastAsia="zh-CN"/>
        </w:rPr>
        <w:t>分</w:t>
      </w:r>
      <w:r>
        <w:rPr>
          <w:rFonts w:hint="eastAsia" w:ascii="宋体" w:hAnsi="宋体" w:cs="宋体"/>
          <w:color w:val="auto"/>
          <w:sz w:val="24"/>
          <w:highlight w:val="none"/>
        </w:rPr>
        <w:t>，并对所提供资料的真实性负责；</w:t>
      </w:r>
    </w:p>
    <w:p w14:paraId="7C65DB29">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（二）本单位无涉及违法、违规不良记录，本单位及相关负责人无因存在重大隐患整改不力、发生有重大社会影响生产安全事故或其他严重违法违规行为而被列入失信联合惩戒的不良记录；</w:t>
      </w:r>
    </w:p>
    <w:p w14:paraId="457074F2">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（三）严格依照国家和省、市、县的法律、法规、规章、规范性文件参加本次采购投标活动，积极履行社会责任，促进廉政建设；</w:t>
      </w:r>
    </w:p>
    <w:p w14:paraId="240333E6">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自我约束、自我管理，守合同、重信用，自觉维护采购交易的良好秩序，与参与本次采购活动的其他供应商不存在直接控股或管理关系，不参与围标串标、弄虚作假、骗取中标、干扰评标、违约毁约等行为；</w:t>
      </w:r>
    </w:p>
    <w:p w14:paraId="79E78728">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（五）自觉接受政府、行业组织、社会公众、新闻舆论的监督；</w:t>
      </w:r>
    </w:p>
    <w:p w14:paraId="6658C079">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（六）本单位自愿接受采购监督管理机构和有关行政监督部门的依法检查。如发生违法违规或不良失信行为，自愿接受采购监管机构和有关行政监督部门依法给予的行政处罚（处理），并依法承担相应责任；</w:t>
      </w:r>
    </w:p>
    <w:p w14:paraId="4C779F49">
      <w:pPr>
        <w:widowControl/>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（七）本人已认真阅读上述承诺，并向本单位员工作了宣传教育。</w:t>
      </w:r>
    </w:p>
    <w:p w14:paraId="02A82AE3">
      <w:pPr>
        <w:widowControl/>
        <w:spacing w:line="420" w:lineRule="exact"/>
        <w:rPr>
          <w:rFonts w:hint="eastAsia" w:ascii="宋体" w:hAnsi="宋体" w:cs="宋体"/>
          <w:color w:val="auto"/>
          <w:sz w:val="24"/>
          <w:highlight w:val="none"/>
        </w:rPr>
      </w:pPr>
    </w:p>
    <w:p w14:paraId="146A0D5D">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w:t>
      </w:r>
    </w:p>
    <w:p w14:paraId="5FDE5C7C">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供应商名称（盖章）：</w:t>
      </w:r>
    </w:p>
    <w:p w14:paraId="06211160">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0CA79A95">
      <w:pPr>
        <w:pStyle w:val="41"/>
        <w:jc w:val="right"/>
        <w:outlineLvl w:val="1"/>
        <w:rPr>
          <w:rFonts w:hint="eastAsia" w:eastAsia="宋体"/>
          <w:color w:val="auto"/>
          <w:highlight w:val="none"/>
        </w:rPr>
      </w:pPr>
      <w:r>
        <w:rPr>
          <w:rFonts w:hint="eastAsia" w:eastAsia="宋体"/>
          <w:color w:val="auto"/>
          <w:highlight w:val="none"/>
        </w:rPr>
        <w:br w:type="page"/>
      </w:r>
      <w:bookmarkStart w:id="231" w:name="_Toc15308"/>
      <w:bookmarkStart w:id="232" w:name="_Toc6410"/>
      <w:bookmarkStart w:id="233" w:name="_Toc19902"/>
      <w:bookmarkStart w:id="234" w:name="_Toc24170"/>
      <w:bookmarkStart w:id="235" w:name="_Toc10494"/>
    </w:p>
    <w:p w14:paraId="0842EE99">
      <w:pPr>
        <w:pStyle w:val="41"/>
        <w:jc w:val="center"/>
        <w:outlineLvl w:val="1"/>
        <w:rPr>
          <w:rFonts w:hint="eastAsia" w:eastAsia="宋体"/>
          <w:b/>
          <w:bCs/>
          <w:color w:val="auto"/>
          <w:kern w:val="2"/>
          <w:sz w:val="28"/>
          <w:szCs w:val="28"/>
          <w:highlight w:val="none"/>
        </w:rPr>
      </w:pPr>
      <w:bookmarkStart w:id="236" w:name="_Toc22131"/>
      <w:r>
        <w:rPr>
          <w:rFonts w:hint="eastAsia" w:eastAsia="宋体"/>
          <w:b/>
          <w:bCs/>
          <w:color w:val="auto"/>
          <w:kern w:val="2"/>
          <w:sz w:val="28"/>
          <w:szCs w:val="28"/>
          <w:highlight w:val="none"/>
        </w:rPr>
        <w:t>十、招标文件规定或投标人认为有必要提供的其他文件</w:t>
      </w:r>
      <w:bookmarkEnd w:id="231"/>
      <w:bookmarkEnd w:id="232"/>
      <w:bookmarkEnd w:id="233"/>
      <w:bookmarkEnd w:id="234"/>
      <w:bookmarkEnd w:id="235"/>
      <w:bookmarkEnd w:id="236"/>
    </w:p>
    <w:p w14:paraId="4AD08743">
      <w:pPr>
        <w:pStyle w:val="41"/>
        <w:jc w:val="both"/>
        <w:outlineLvl w:val="1"/>
        <w:rPr>
          <w:rFonts w:hint="eastAsia" w:eastAsia="宋体"/>
          <w:b/>
          <w:bCs/>
          <w:color w:val="auto"/>
          <w:kern w:val="2"/>
          <w:sz w:val="28"/>
          <w:szCs w:val="28"/>
          <w:highlight w:val="none"/>
        </w:rPr>
      </w:pPr>
    </w:p>
    <w:sectPr>
      <w:pgSz w:w="11906" w:h="16838"/>
      <w:pgMar w:top="1440" w:right="1440" w:bottom="1440" w:left="1440" w:header="851" w:footer="686" w:gutter="0"/>
      <w:pgNumType w:fmt="decimal"/>
      <w:cols w:space="0" w:num="1"/>
      <w:docGrid w:type="lines" w:linePitch="32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87DD2DF-FAD4-4996-9E69-34BE4A1D0CF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033DDE6-F0DE-4139-A1E3-3887A3611273}"/>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Footlight MT Light">
    <w:panose1 w:val="0204060206030A020304"/>
    <w:charset w:val="00"/>
    <w:family w:val="roman"/>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微软雅黑"/>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00" w:usb3="00000000" w:csb0="003E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161DF">
    <w:pPr>
      <w:pStyle w:val="13"/>
      <w:spacing w:before="60" w:after="60"/>
      <w:ind w:firstLine="360"/>
    </w:pPr>
  </w:p>
  <w:p w14:paraId="61B4EDE1">
    <w:pPr>
      <w:spacing w:before="60" w:after="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3967E">
    <w:pPr>
      <w:pStyle w:val="13"/>
      <w:spacing w:before="60" w:after="60"/>
      <w:ind w:firstLine="360"/>
    </w:pPr>
  </w:p>
  <w:p w14:paraId="40721750">
    <w:pPr>
      <w:spacing w:before="60" w:after="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41C73">
    <w:pPr>
      <w:pStyle w:val="13"/>
      <w:spacing w:before="60" w:after="60"/>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A56A99">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0A56A99">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355A795C">
    <w:pPr>
      <w:spacing w:before="60" w:after="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4B2C1A"/>
    <w:multiLevelType w:val="singleLevel"/>
    <w:tmpl w:val="9E4B2C1A"/>
    <w:lvl w:ilvl="0" w:tentative="0">
      <w:start w:val="5"/>
      <w:numFmt w:val="chineseCounting"/>
      <w:suff w:val="nothing"/>
      <w:lvlText w:val="%1、"/>
      <w:lvlJc w:val="left"/>
      <w:rPr>
        <w:rFonts w:hint="eastAsia"/>
      </w:rPr>
    </w:lvl>
  </w:abstractNum>
  <w:abstractNum w:abstractNumId="1">
    <w:nsid w:val="3B363D98"/>
    <w:multiLevelType w:val="multilevel"/>
    <w:tmpl w:val="3B363D98"/>
    <w:lvl w:ilvl="0" w:tentative="0">
      <w:start w:val="1"/>
      <w:numFmt w:val="decimal"/>
      <w:pStyle w:val="6"/>
      <w:suff w:val="space"/>
      <w:lvlText w:val="图%1"/>
      <w:lvlJc w:val="left"/>
      <w:pPr>
        <w:ind w:left="0" w:firstLine="0"/>
      </w:pPr>
      <w:rPr>
        <w:rFonts w:hint="eastAsia"/>
        <w:b w:val="0"/>
        <w:bCs w:val="0"/>
        <w:i w:val="0"/>
        <w:iCs w:val="0"/>
        <w:caps w:val="0"/>
        <w:smallCaps w:val="0"/>
        <w:strike w:val="0"/>
        <w:dstrike w:val="0"/>
        <w:spacing w:val="0"/>
        <w:position w:val="0"/>
        <w:u w:val="none"/>
        <w:vertAlign w:val="baseline"/>
      </w:rPr>
    </w:lvl>
    <w:lvl w:ilvl="1" w:tentative="0">
      <w:start w:val="1"/>
      <w:numFmt w:val="lowerLetter"/>
      <w:lvlText w:val="%2)"/>
      <w:lvlJc w:val="left"/>
      <w:pPr>
        <w:ind w:left="2683" w:hanging="420"/>
      </w:pPr>
    </w:lvl>
    <w:lvl w:ilvl="2" w:tentative="0">
      <w:start w:val="1"/>
      <w:numFmt w:val="lowerRoman"/>
      <w:lvlText w:val="%3."/>
      <w:lvlJc w:val="right"/>
      <w:pPr>
        <w:ind w:left="3103" w:hanging="420"/>
      </w:pPr>
    </w:lvl>
    <w:lvl w:ilvl="3" w:tentative="0">
      <w:start w:val="1"/>
      <w:numFmt w:val="decimal"/>
      <w:lvlText w:val="%4."/>
      <w:lvlJc w:val="left"/>
      <w:pPr>
        <w:ind w:left="3523" w:hanging="420"/>
      </w:pPr>
    </w:lvl>
    <w:lvl w:ilvl="4" w:tentative="0">
      <w:start w:val="1"/>
      <w:numFmt w:val="lowerLetter"/>
      <w:lvlText w:val="%5)"/>
      <w:lvlJc w:val="left"/>
      <w:pPr>
        <w:ind w:left="3943" w:hanging="420"/>
      </w:pPr>
    </w:lvl>
    <w:lvl w:ilvl="5" w:tentative="0">
      <w:start w:val="1"/>
      <w:numFmt w:val="lowerRoman"/>
      <w:lvlText w:val="%6."/>
      <w:lvlJc w:val="right"/>
      <w:pPr>
        <w:ind w:left="4363" w:hanging="420"/>
      </w:pPr>
    </w:lvl>
    <w:lvl w:ilvl="6" w:tentative="0">
      <w:start w:val="1"/>
      <w:numFmt w:val="decimal"/>
      <w:lvlText w:val="%7."/>
      <w:lvlJc w:val="left"/>
      <w:pPr>
        <w:ind w:left="4783" w:hanging="420"/>
      </w:pPr>
    </w:lvl>
    <w:lvl w:ilvl="7" w:tentative="0">
      <w:start w:val="1"/>
      <w:numFmt w:val="lowerLetter"/>
      <w:lvlText w:val="%8)"/>
      <w:lvlJc w:val="left"/>
      <w:pPr>
        <w:ind w:left="5203" w:hanging="420"/>
      </w:pPr>
    </w:lvl>
    <w:lvl w:ilvl="8" w:tentative="0">
      <w:start w:val="1"/>
      <w:numFmt w:val="lowerRoman"/>
      <w:lvlText w:val="%9."/>
      <w:lvlJc w:val="right"/>
      <w:pPr>
        <w:ind w:left="5623" w:hanging="420"/>
      </w:pPr>
    </w:lvl>
  </w:abstractNum>
  <w:abstractNum w:abstractNumId="2">
    <w:nsid w:val="60B55DC2"/>
    <w:multiLevelType w:val="multilevel"/>
    <w:tmpl w:val="60B55DC2"/>
    <w:lvl w:ilvl="0" w:tentative="0">
      <w:start w:val="1"/>
      <w:numFmt w:val="upperLetter"/>
      <w:lvlText w:val="%1"/>
      <w:lvlJc w:val="left"/>
      <w:pPr>
        <w:tabs>
          <w:tab w:val="left" w:pos="0"/>
        </w:tabs>
        <w:ind w:left="0" w:hanging="425"/>
      </w:pPr>
      <w:rPr>
        <w:rFonts w:hint="eastAsia"/>
      </w:rPr>
    </w:lvl>
    <w:lvl w:ilvl="1" w:tentative="0">
      <w:start w:val="1"/>
      <w:numFmt w:val="decimal"/>
      <w:pStyle w:val="68"/>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3">
    <w:nsid w:val="64F97FF5"/>
    <w:multiLevelType w:val="multilevel"/>
    <w:tmpl w:val="64F97FF5"/>
    <w:lvl w:ilvl="0" w:tentative="0">
      <w:start w:val="1"/>
      <w:numFmt w:val="decimal"/>
      <w:suff w:val="nothing"/>
      <w:lvlText w:val="（%1）"/>
      <w:lvlJc w:val="left"/>
      <w:pPr>
        <w:ind w:left="420" w:firstLine="0"/>
      </w:pPr>
      <w:rPr>
        <w:rFonts w:hint="eastAsia"/>
        <w:b w:val="0"/>
        <w:bCs w:val="0"/>
        <w:i w:val="0"/>
        <w:iCs w:val="0"/>
        <w:caps w:val="0"/>
        <w:smallCaps w:val="0"/>
        <w:strike w:val="0"/>
        <w:dstrike w:val="0"/>
        <w:spacing w:val="0"/>
        <w:position w:val="0"/>
        <w:u w:val="none"/>
        <w:vertAlign w:val="baseline"/>
        <w:lang w:val="en-US"/>
      </w:rPr>
    </w:lvl>
    <w:lvl w:ilvl="1" w:tentative="0">
      <w:start w:val="1"/>
      <w:numFmt w:val="decimal"/>
      <w:suff w:val="nothing"/>
      <w:lvlText w:val="%2）"/>
      <w:lvlJc w:val="left"/>
      <w:pPr>
        <w:ind w:left="420" w:firstLine="0"/>
      </w:pPr>
      <w:rPr>
        <w:rFonts w:hint="eastAsia"/>
      </w:rPr>
    </w:lvl>
    <w:lvl w:ilvl="2" w:tentative="0">
      <w:start w:val="1"/>
      <w:numFmt w:val="lowerRoman"/>
      <w:lvlText w:val="%3."/>
      <w:lvlJc w:val="right"/>
      <w:pPr>
        <w:ind w:left="840" w:firstLine="0"/>
      </w:pPr>
      <w:rPr>
        <w:rFonts w:hint="eastAsia"/>
      </w:rPr>
    </w:lvl>
    <w:lvl w:ilvl="3" w:tentative="0">
      <w:start w:val="1"/>
      <w:numFmt w:val="decimal"/>
      <w:lvlText w:val="%4）"/>
      <w:lvlJc w:val="left"/>
      <w:pPr>
        <w:ind w:left="1260" w:firstLine="0"/>
      </w:pPr>
      <w:rPr>
        <w:rFonts w:hint="eastAsia"/>
      </w:rPr>
    </w:lvl>
    <w:lvl w:ilvl="4" w:tentative="0">
      <w:start w:val="1"/>
      <w:numFmt w:val="lowerLetter"/>
      <w:lvlText w:val="%5)"/>
      <w:lvlJc w:val="left"/>
      <w:pPr>
        <w:ind w:left="1680" w:firstLine="0"/>
      </w:pPr>
      <w:rPr>
        <w:rFonts w:hint="eastAsia"/>
      </w:rPr>
    </w:lvl>
    <w:lvl w:ilvl="5" w:tentative="0">
      <w:start w:val="1"/>
      <w:numFmt w:val="lowerRoman"/>
      <w:lvlText w:val="%6."/>
      <w:lvlJc w:val="right"/>
      <w:pPr>
        <w:ind w:left="2100" w:firstLine="0"/>
      </w:pPr>
      <w:rPr>
        <w:rFonts w:hint="eastAsia"/>
      </w:rPr>
    </w:lvl>
    <w:lvl w:ilvl="6" w:tentative="0">
      <w:start w:val="1"/>
      <w:numFmt w:val="decimal"/>
      <w:lvlText w:val="%7."/>
      <w:lvlJc w:val="left"/>
      <w:pPr>
        <w:ind w:left="2520" w:firstLine="0"/>
      </w:pPr>
      <w:rPr>
        <w:rFonts w:hint="eastAsia"/>
      </w:rPr>
    </w:lvl>
    <w:lvl w:ilvl="7" w:tentative="0">
      <w:start w:val="1"/>
      <w:numFmt w:val="lowerLetter"/>
      <w:lvlText w:val="%8)"/>
      <w:lvlJc w:val="left"/>
      <w:pPr>
        <w:ind w:left="2940" w:firstLine="0"/>
      </w:pPr>
      <w:rPr>
        <w:rFonts w:hint="eastAsia"/>
      </w:rPr>
    </w:lvl>
    <w:lvl w:ilvl="8" w:tentative="0">
      <w:start w:val="1"/>
      <w:numFmt w:val="lowerRoman"/>
      <w:lvlText w:val="%9."/>
      <w:lvlJc w:val="right"/>
      <w:pPr>
        <w:ind w:left="3360" w:firstLine="0"/>
      </w:pPr>
      <w:rPr>
        <w:rFonts w:hint="eastAsia"/>
      </w:rPr>
    </w:lvl>
  </w:abstractNum>
  <w:num w:numId="1">
    <w:abstractNumId w:val="1"/>
  </w:num>
  <w:num w:numId="2">
    <w:abstractNumId w:val="3"/>
    <w:lvlOverride w:ilvl="0">
      <w:lvl w:ilvl="0" w:tentative="1">
        <w:start w:val="1"/>
        <w:numFmt w:val="decimal"/>
        <w:pStyle w:val="44"/>
        <w:suff w:val="nothing"/>
        <w:lvlText w:val="（%1）"/>
        <w:lvlJc w:val="left"/>
        <w:pPr>
          <w:ind w:left="420" w:firstLine="0"/>
        </w:pPr>
        <w:rPr>
          <w:rFonts w:hint="eastAsia"/>
          <w:b w:val="0"/>
          <w:bCs w:val="0"/>
          <w:i w:val="0"/>
          <w:iCs w:val="0"/>
          <w:caps w:val="0"/>
          <w:smallCaps w:val="0"/>
          <w:strike w:val="0"/>
          <w:dstrike w:val="0"/>
          <w:spacing w:val="0"/>
          <w:position w:val="0"/>
          <w:u w:val="none"/>
          <w:vertAlign w:val="baseline"/>
          <w:lang w:val="en-US"/>
        </w:rPr>
      </w:lvl>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6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EwNDZlNTUwODBhMjU1NGYxZmIzYmQxNjJlZDNhZDEifQ=="/>
  </w:docVars>
  <w:rsids>
    <w:rsidRoot w:val="006122FF"/>
    <w:rsid w:val="00006EA0"/>
    <w:rsid w:val="000609D6"/>
    <w:rsid w:val="00066C29"/>
    <w:rsid w:val="000965DC"/>
    <w:rsid w:val="000A3D03"/>
    <w:rsid w:val="000A6267"/>
    <w:rsid w:val="000C4DFF"/>
    <w:rsid w:val="000C7FA1"/>
    <w:rsid w:val="000E0D8C"/>
    <w:rsid w:val="000F03B2"/>
    <w:rsid w:val="000F0C44"/>
    <w:rsid w:val="00115CBE"/>
    <w:rsid w:val="00116580"/>
    <w:rsid w:val="00133EF6"/>
    <w:rsid w:val="00167494"/>
    <w:rsid w:val="00182C77"/>
    <w:rsid w:val="001A5482"/>
    <w:rsid w:val="001F3C61"/>
    <w:rsid w:val="001F7C04"/>
    <w:rsid w:val="00201FAA"/>
    <w:rsid w:val="00207CF7"/>
    <w:rsid w:val="00215FF0"/>
    <w:rsid w:val="00226788"/>
    <w:rsid w:val="00257493"/>
    <w:rsid w:val="002607C3"/>
    <w:rsid w:val="00272543"/>
    <w:rsid w:val="002951A8"/>
    <w:rsid w:val="002A41C8"/>
    <w:rsid w:val="002A5F78"/>
    <w:rsid w:val="002B0478"/>
    <w:rsid w:val="002C5987"/>
    <w:rsid w:val="002D0168"/>
    <w:rsid w:val="002E4DD5"/>
    <w:rsid w:val="002F7499"/>
    <w:rsid w:val="00330374"/>
    <w:rsid w:val="00333ADD"/>
    <w:rsid w:val="00342CBE"/>
    <w:rsid w:val="003471D2"/>
    <w:rsid w:val="003541EB"/>
    <w:rsid w:val="00356674"/>
    <w:rsid w:val="003568DA"/>
    <w:rsid w:val="00384100"/>
    <w:rsid w:val="003B787A"/>
    <w:rsid w:val="003C2082"/>
    <w:rsid w:val="003C331A"/>
    <w:rsid w:val="003E1997"/>
    <w:rsid w:val="00437D14"/>
    <w:rsid w:val="00440C15"/>
    <w:rsid w:val="004421AE"/>
    <w:rsid w:val="0045075B"/>
    <w:rsid w:val="004525D5"/>
    <w:rsid w:val="00452862"/>
    <w:rsid w:val="0046148A"/>
    <w:rsid w:val="004A35BD"/>
    <w:rsid w:val="004D0B44"/>
    <w:rsid w:val="004D3F7C"/>
    <w:rsid w:val="004D5A68"/>
    <w:rsid w:val="004F495E"/>
    <w:rsid w:val="004F4BAC"/>
    <w:rsid w:val="005001CE"/>
    <w:rsid w:val="005406A5"/>
    <w:rsid w:val="0056279E"/>
    <w:rsid w:val="00575A68"/>
    <w:rsid w:val="00587B4B"/>
    <w:rsid w:val="005929FC"/>
    <w:rsid w:val="005A0FC6"/>
    <w:rsid w:val="005A2D64"/>
    <w:rsid w:val="005B6011"/>
    <w:rsid w:val="005C5D42"/>
    <w:rsid w:val="005D00B7"/>
    <w:rsid w:val="005D05B8"/>
    <w:rsid w:val="005D7571"/>
    <w:rsid w:val="0061104C"/>
    <w:rsid w:val="006122FF"/>
    <w:rsid w:val="0064109F"/>
    <w:rsid w:val="00671EFC"/>
    <w:rsid w:val="00673721"/>
    <w:rsid w:val="00674CB5"/>
    <w:rsid w:val="00686092"/>
    <w:rsid w:val="00691B18"/>
    <w:rsid w:val="006A54A2"/>
    <w:rsid w:val="006A79F9"/>
    <w:rsid w:val="006D0286"/>
    <w:rsid w:val="006E679E"/>
    <w:rsid w:val="00710D5D"/>
    <w:rsid w:val="00710E9D"/>
    <w:rsid w:val="00716723"/>
    <w:rsid w:val="00753C8D"/>
    <w:rsid w:val="00762D2C"/>
    <w:rsid w:val="00780026"/>
    <w:rsid w:val="007A76E8"/>
    <w:rsid w:val="007B44D3"/>
    <w:rsid w:val="007C168A"/>
    <w:rsid w:val="007C61E4"/>
    <w:rsid w:val="007E5DF3"/>
    <w:rsid w:val="007E7051"/>
    <w:rsid w:val="007F566C"/>
    <w:rsid w:val="00811C85"/>
    <w:rsid w:val="00820CD0"/>
    <w:rsid w:val="00823B88"/>
    <w:rsid w:val="0083416B"/>
    <w:rsid w:val="00834E6B"/>
    <w:rsid w:val="008814E9"/>
    <w:rsid w:val="00890652"/>
    <w:rsid w:val="008B58FE"/>
    <w:rsid w:val="008E1E1F"/>
    <w:rsid w:val="008F30C9"/>
    <w:rsid w:val="00902BD0"/>
    <w:rsid w:val="009072E4"/>
    <w:rsid w:val="00916F52"/>
    <w:rsid w:val="009374AA"/>
    <w:rsid w:val="00942170"/>
    <w:rsid w:val="0095757B"/>
    <w:rsid w:val="00980000"/>
    <w:rsid w:val="009845DE"/>
    <w:rsid w:val="00992F32"/>
    <w:rsid w:val="009B064A"/>
    <w:rsid w:val="009C512B"/>
    <w:rsid w:val="00A017FE"/>
    <w:rsid w:val="00A11102"/>
    <w:rsid w:val="00A15C04"/>
    <w:rsid w:val="00A20ECB"/>
    <w:rsid w:val="00A3640F"/>
    <w:rsid w:val="00A37D6B"/>
    <w:rsid w:val="00A5536B"/>
    <w:rsid w:val="00AA363A"/>
    <w:rsid w:val="00AA5BC5"/>
    <w:rsid w:val="00AA6DA8"/>
    <w:rsid w:val="00AE45B1"/>
    <w:rsid w:val="00AE6675"/>
    <w:rsid w:val="00AF5C8D"/>
    <w:rsid w:val="00AF73BF"/>
    <w:rsid w:val="00B3065A"/>
    <w:rsid w:val="00B31744"/>
    <w:rsid w:val="00B34032"/>
    <w:rsid w:val="00B3553F"/>
    <w:rsid w:val="00B428C1"/>
    <w:rsid w:val="00B432E6"/>
    <w:rsid w:val="00B55CB0"/>
    <w:rsid w:val="00B65489"/>
    <w:rsid w:val="00B75033"/>
    <w:rsid w:val="00B76C47"/>
    <w:rsid w:val="00B9792D"/>
    <w:rsid w:val="00BA1F31"/>
    <w:rsid w:val="00BA5D58"/>
    <w:rsid w:val="00BC3AE3"/>
    <w:rsid w:val="00BD5C30"/>
    <w:rsid w:val="00BE2281"/>
    <w:rsid w:val="00BE745A"/>
    <w:rsid w:val="00BF25C1"/>
    <w:rsid w:val="00C10395"/>
    <w:rsid w:val="00C226EB"/>
    <w:rsid w:val="00C33C6D"/>
    <w:rsid w:val="00C35097"/>
    <w:rsid w:val="00C36AD9"/>
    <w:rsid w:val="00C426EB"/>
    <w:rsid w:val="00C42DB8"/>
    <w:rsid w:val="00C6664C"/>
    <w:rsid w:val="00C666DC"/>
    <w:rsid w:val="00C80177"/>
    <w:rsid w:val="00C935D8"/>
    <w:rsid w:val="00CE272C"/>
    <w:rsid w:val="00D11704"/>
    <w:rsid w:val="00D36292"/>
    <w:rsid w:val="00D62BE0"/>
    <w:rsid w:val="00D62DB5"/>
    <w:rsid w:val="00D63417"/>
    <w:rsid w:val="00D64CEC"/>
    <w:rsid w:val="00D65010"/>
    <w:rsid w:val="00D94C21"/>
    <w:rsid w:val="00DC7C1D"/>
    <w:rsid w:val="00DD14F0"/>
    <w:rsid w:val="00DD2BA6"/>
    <w:rsid w:val="00DE1CDD"/>
    <w:rsid w:val="00DE4030"/>
    <w:rsid w:val="00DE4707"/>
    <w:rsid w:val="00DF5F41"/>
    <w:rsid w:val="00E0025C"/>
    <w:rsid w:val="00E025A5"/>
    <w:rsid w:val="00E10E70"/>
    <w:rsid w:val="00E2645E"/>
    <w:rsid w:val="00E35744"/>
    <w:rsid w:val="00E57299"/>
    <w:rsid w:val="00E63BB5"/>
    <w:rsid w:val="00E75325"/>
    <w:rsid w:val="00E77CC0"/>
    <w:rsid w:val="00E8016D"/>
    <w:rsid w:val="00E94D68"/>
    <w:rsid w:val="00EA6C6D"/>
    <w:rsid w:val="00EC107C"/>
    <w:rsid w:val="00ED18D3"/>
    <w:rsid w:val="00EE63F2"/>
    <w:rsid w:val="00F01566"/>
    <w:rsid w:val="00F13698"/>
    <w:rsid w:val="00F436F6"/>
    <w:rsid w:val="00F4708C"/>
    <w:rsid w:val="00F50930"/>
    <w:rsid w:val="00F63745"/>
    <w:rsid w:val="00F64B60"/>
    <w:rsid w:val="00F76805"/>
    <w:rsid w:val="00F97204"/>
    <w:rsid w:val="00FB0F63"/>
    <w:rsid w:val="00FC41D3"/>
    <w:rsid w:val="00FC58DE"/>
    <w:rsid w:val="00FE0E64"/>
    <w:rsid w:val="00FE1C9E"/>
    <w:rsid w:val="00FE6BFE"/>
    <w:rsid w:val="00FE74E9"/>
    <w:rsid w:val="00FF44F2"/>
    <w:rsid w:val="00FF46C0"/>
    <w:rsid w:val="00FF4B09"/>
    <w:rsid w:val="01544F04"/>
    <w:rsid w:val="01557B3E"/>
    <w:rsid w:val="015772A4"/>
    <w:rsid w:val="015844D1"/>
    <w:rsid w:val="01690DD2"/>
    <w:rsid w:val="01993E27"/>
    <w:rsid w:val="01A041EE"/>
    <w:rsid w:val="01A544B3"/>
    <w:rsid w:val="02A97FD3"/>
    <w:rsid w:val="02D65F95"/>
    <w:rsid w:val="02E35293"/>
    <w:rsid w:val="030B6598"/>
    <w:rsid w:val="031E26F9"/>
    <w:rsid w:val="032A6C20"/>
    <w:rsid w:val="033D02A9"/>
    <w:rsid w:val="037B371D"/>
    <w:rsid w:val="03DE5A5A"/>
    <w:rsid w:val="04180F6C"/>
    <w:rsid w:val="044B6C77"/>
    <w:rsid w:val="045A19BF"/>
    <w:rsid w:val="045A6CAD"/>
    <w:rsid w:val="04631139"/>
    <w:rsid w:val="04C64C6E"/>
    <w:rsid w:val="04FC088E"/>
    <w:rsid w:val="05850883"/>
    <w:rsid w:val="058F525E"/>
    <w:rsid w:val="0594562D"/>
    <w:rsid w:val="05BB42A5"/>
    <w:rsid w:val="05C4768C"/>
    <w:rsid w:val="05C72C4A"/>
    <w:rsid w:val="05DD4E34"/>
    <w:rsid w:val="05F67D5A"/>
    <w:rsid w:val="060A3E55"/>
    <w:rsid w:val="0615320E"/>
    <w:rsid w:val="06874187"/>
    <w:rsid w:val="069D1BFD"/>
    <w:rsid w:val="06AD0971"/>
    <w:rsid w:val="06E31D05"/>
    <w:rsid w:val="06F26327"/>
    <w:rsid w:val="07290B71"/>
    <w:rsid w:val="078A4E98"/>
    <w:rsid w:val="07B23486"/>
    <w:rsid w:val="07CD4764"/>
    <w:rsid w:val="08017F69"/>
    <w:rsid w:val="080D4B60"/>
    <w:rsid w:val="08585DDB"/>
    <w:rsid w:val="08CC0577"/>
    <w:rsid w:val="08D5567E"/>
    <w:rsid w:val="08E20997"/>
    <w:rsid w:val="08F10DED"/>
    <w:rsid w:val="08FC0E5C"/>
    <w:rsid w:val="090441B5"/>
    <w:rsid w:val="0928227F"/>
    <w:rsid w:val="092927AE"/>
    <w:rsid w:val="098826F0"/>
    <w:rsid w:val="09CD5259"/>
    <w:rsid w:val="09F37B4F"/>
    <w:rsid w:val="0A0501E5"/>
    <w:rsid w:val="0A0F696E"/>
    <w:rsid w:val="0A4F320E"/>
    <w:rsid w:val="0A513C84"/>
    <w:rsid w:val="0A516779"/>
    <w:rsid w:val="0A6A44EC"/>
    <w:rsid w:val="0A762C66"/>
    <w:rsid w:val="0A857EEE"/>
    <w:rsid w:val="0A97712A"/>
    <w:rsid w:val="0AF81AF7"/>
    <w:rsid w:val="0B2E5519"/>
    <w:rsid w:val="0B3519ED"/>
    <w:rsid w:val="0B5E5DFE"/>
    <w:rsid w:val="0B835865"/>
    <w:rsid w:val="0BE502CE"/>
    <w:rsid w:val="0BF56037"/>
    <w:rsid w:val="0BF978D5"/>
    <w:rsid w:val="0C322DE7"/>
    <w:rsid w:val="0C62191E"/>
    <w:rsid w:val="0C7C7FF7"/>
    <w:rsid w:val="0CB63A18"/>
    <w:rsid w:val="0CC872A8"/>
    <w:rsid w:val="0CCC4FEA"/>
    <w:rsid w:val="0CD44AF1"/>
    <w:rsid w:val="0D10753A"/>
    <w:rsid w:val="0D186481"/>
    <w:rsid w:val="0D2005D6"/>
    <w:rsid w:val="0D295F98"/>
    <w:rsid w:val="0D416C6F"/>
    <w:rsid w:val="0D474670"/>
    <w:rsid w:val="0DC56844"/>
    <w:rsid w:val="0DDE4FD5"/>
    <w:rsid w:val="0E2772E2"/>
    <w:rsid w:val="0E3177FA"/>
    <w:rsid w:val="0E76345F"/>
    <w:rsid w:val="0E77654C"/>
    <w:rsid w:val="0E876762"/>
    <w:rsid w:val="0E876CE1"/>
    <w:rsid w:val="0EC75A69"/>
    <w:rsid w:val="0EE24651"/>
    <w:rsid w:val="0EE91E83"/>
    <w:rsid w:val="0F3B6457"/>
    <w:rsid w:val="0F8B42AA"/>
    <w:rsid w:val="0F9035E2"/>
    <w:rsid w:val="0F9811B3"/>
    <w:rsid w:val="0F9F69E6"/>
    <w:rsid w:val="0FD03043"/>
    <w:rsid w:val="0FE856D3"/>
    <w:rsid w:val="100C2B47"/>
    <w:rsid w:val="10174160"/>
    <w:rsid w:val="101B56B1"/>
    <w:rsid w:val="10D26188"/>
    <w:rsid w:val="10FE598E"/>
    <w:rsid w:val="113338FE"/>
    <w:rsid w:val="11F900C1"/>
    <w:rsid w:val="12003DBC"/>
    <w:rsid w:val="12053FD3"/>
    <w:rsid w:val="12380A2C"/>
    <w:rsid w:val="12631F4C"/>
    <w:rsid w:val="12645AF2"/>
    <w:rsid w:val="126463E5"/>
    <w:rsid w:val="12C07B2C"/>
    <w:rsid w:val="12C74D70"/>
    <w:rsid w:val="12CA522E"/>
    <w:rsid w:val="130D37E5"/>
    <w:rsid w:val="13520465"/>
    <w:rsid w:val="13893C35"/>
    <w:rsid w:val="13931934"/>
    <w:rsid w:val="13AD0FD3"/>
    <w:rsid w:val="13BB1914"/>
    <w:rsid w:val="13C217F6"/>
    <w:rsid w:val="13E347B8"/>
    <w:rsid w:val="13E470BD"/>
    <w:rsid w:val="14280D4F"/>
    <w:rsid w:val="1471073F"/>
    <w:rsid w:val="14ED1F6B"/>
    <w:rsid w:val="150D3FCC"/>
    <w:rsid w:val="15252FA3"/>
    <w:rsid w:val="15510782"/>
    <w:rsid w:val="155E26D2"/>
    <w:rsid w:val="15DB269A"/>
    <w:rsid w:val="160B0931"/>
    <w:rsid w:val="16251F74"/>
    <w:rsid w:val="162C6E51"/>
    <w:rsid w:val="1644504C"/>
    <w:rsid w:val="16930A8A"/>
    <w:rsid w:val="16BA4105"/>
    <w:rsid w:val="16D9376D"/>
    <w:rsid w:val="16F05D79"/>
    <w:rsid w:val="16F13FCB"/>
    <w:rsid w:val="17035AAC"/>
    <w:rsid w:val="1706559C"/>
    <w:rsid w:val="1707535A"/>
    <w:rsid w:val="174A5489"/>
    <w:rsid w:val="177B3570"/>
    <w:rsid w:val="17AB1539"/>
    <w:rsid w:val="17C27715"/>
    <w:rsid w:val="17D17F51"/>
    <w:rsid w:val="17EB6C6C"/>
    <w:rsid w:val="1810245D"/>
    <w:rsid w:val="183B3024"/>
    <w:rsid w:val="184C5231"/>
    <w:rsid w:val="187A0398"/>
    <w:rsid w:val="189310B2"/>
    <w:rsid w:val="18DA1E65"/>
    <w:rsid w:val="18DC78F9"/>
    <w:rsid w:val="190860B0"/>
    <w:rsid w:val="1927581E"/>
    <w:rsid w:val="192B4E46"/>
    <w:rsid w:val="19404C1F"/>
    <w:rsid w:val="195D4CF2"/>
    <w:rsid w:val="196F567B"/>
    <w:rsid w:val="19D90A83"/>
    <w:rsid w:val="1A477973"/>
    <w:rsid w:val="1A512FD2"/>
    <w:rsid w:val="1A5C6953"/>
    <w:rsid w:val="1A890998"/>
    <w:rsid w:val="1A8D5D37"/>
    <w:rsid w:val="1AB060CF"/>
    <w:rsid w:val="1ABA0512"/>
    <w:rsid w:val="1B1D4C62"/>
    <w:rsid w:val="1B1D6D97"/>
    <w:rsid w:val="1B373F76"/>
    <w:rsid w:val="1B610FF3"/>
    <w:rsid w:val="1B7E1BA5"/>
    <w:rsid w:val="1BA020EC"/>
    <w:rsid w:val="1BB63A6F"/>
    <w:rsid w:val="1BCC0FFC"/>
    <w:rsid w:val="1C090325"/>
    <w:rsid w:val="1C174FFB"/>
    <w:rsid w:val="1C297D63"/>
    <w:rsid w:val="1C5172BA"/>
    <w:rsid w:val="1C563F1B"/>
    <w:rsid w:val="1C7D3C0B"/>
    <w:rsid w:val="1CBA4E5F"/>
    <w:rsid w:val="1D0B1216"/>
    <w:rsid w:val="1D0E51AB"/>
    <w:rsid w:val="1D305121"/>
    <w:rsid w:val="1D305BC8"/>
    <w:rsid w:val="1D3E783E"/>
    <w:rsid w:val="1D4C7A82"/>
    <w:rsid w:val="1D747531"/>
    <w:rsid w:val="1DC1221D"/>
    <w:rsid w:val="1DC86484"/>
    <w:rsid w:val="1DCD0BC2"/>
    <w:rsid w:val="1DDF4451"/>
    <w:rsid w:val="1DE533C7"/>
    <w:rsid w:val="1E4F15D7"/>
    <w:rsid w:val="1E6A6411"/>
    <w:rsid w:val="1E7352C5"/>
    <w:rsid w:val="1F1D7813"/>
    <w:rsid w:val="1F336F5C"/>
    <w:rsid w:val="1F492760"/>
    <w:rsid w:val="1F4E5D32"/>
    <w:rsid w:val="1F7B710D"/>
    <w:rsid w:val="1F946DD7"/>
    <w:rsid w:val="1FBD663D"/>
    <w:rsid w:val="1FD004F5"/>
    <w:rsid w:val="1FD63181"/>
    <w:rsid w:val="2007660D"/>
    <w:rsid w:val="201521D1"/>
    <w:rsid w:val="20286583"/>
    <w:rsid w:val="207672EF"/>
    <w:rsid w:val="208E4638"/>
    <w:rsid w:val="20AB732F"/>
    <w:rsid w:val="20B120D5"/>
    <w:rsid w:val="20B3409F"/>
    <w:rsid w:val="20BB2F53"/>
    <w:rsid w:val="20F52CFE"/>
    <w:rsid w:val="211924C8"/>
    <w:rsid w:val="21383485"/>
    <w:rsid w:val="215313DE"/>
    <w:rsid w:val="21734769"/>
    <w:rsid w:val="21815F4B"/>
    <w:rsid w:val="21894E00"/>
    <w:rsid w:val="2190618E"/>
    <w:rsid w:val="21B55D7B"/>
    <w:rsid w:val="21D012F2"/>
    <w:rsid w:val="21E5042A"/>
    <w:rsid w:val="228D6B72"/>
    <w:rsid w:val="22E62DDC"/>
    <w:rsid w:val="234A05BF"/>
    <w:rsid w:val="235F406A"/>
    <w:rsid w:val="236553F8"/>
    <w:rsid w:val="23731AC0"/>
    <w:rsid w:val="23F9105D"/>
    <w:rsid w:val="24183A7C"/>
    <w:rsid w:val="24295276"/>
    <w:rsid w:val="247C6E9E"/>
    <w:rsid w:val="248A2ABE"/>
    <w:rsid w:val="24B3175B"/>
    <w:rsid w:val="257C05EA"/>
    <w:rsid w:val="258E50DA"/>
    <w:rsid w:val="25B47277"/>
    <w:rsid w:val="25B76D12"/>
    <w:rsid w:val="25C26B32"/>
    <w:rsid w:val="25C64874"/>
    <w:rsid w:val="25E44CFA"/>
    <w:rsid w:val="26170C2C"/>
    <w:rsid w:val="261A696E"/>
    <w:rsid w:val="261D1FBA"/>
    <w:rsid w:val="26637109"/>
    <w:rsid w:val="267B6533"/>
    <w:rsid w:val="26A10E3D"/>
    <w:rsid w:val="26BD61A6"/>
    <w:rsid w:val="26CF7759"/>
    <w:rsid w:val="26D965BD"/>
    <w:rsid w:val="27010CE7"/>
    <w:rsid w:val="27160EE4"/>
    <w:rsid w:val="272D2414"/>
    <w:rsid w:val="276F2FC6"/>
    <w:rsid w:val="277A7933"/>
    <w:rsid w:val="278C564A"/>
    <w:rsid w:val="278E4F1E"/>
    <w:rsid w:val="27CE7A10"/>
    <w:rsid w:val="27D274F6"/>
    <w:rsid w:val="27EB2370"/>
    <w:rsid w:val="27F84A8D"/>
    <w:rsid w:val="28670EAC"/>
    <w:rsid w:val="287E4F92"/>
    <w:rsid w:val="28846321"/>
    <w:rsid w:val="28E03E9F"/>
    <w:rsid w:val="292673D8"/>
    <w:rsid w:val="293E4722"/>
    <w:rsid w:val="299D3B3E"/>
    <w:rsid w:val="29A139E7"/>
    <w:rsid w:val="29B42C65"/>
    <w:rsid w:val="29FB0865"/>
    <w:rsid w:val="2A125B46"/>
    <w:rsid w:val="2A2E6D8F"/>
    <w:rsid w:val="2A3023C5"/>
    <w:rsid w:val="2A4B5348"/>
    <w:rsid w:val="2A53277D"/>
    <w:rsid w:val="2A554269"/>
    <w:rsid w:val="2A703001"/>
    <w:rsid w:val="2A874C97"/>
    <w:rsid w:val="2AC603A9"/>
    <w:rsid w:val="2AF91248"/>
    <w:rsid w:val="2B053749"/>
    <w:rsid w:val="2B39758F"/>
    <w:rsid w:val="2B511ADC"/>
    <w:rsid w:val="2B9203D4"/>
    <w:rsid w:val="2BBD4776"/>
    <w:rsid w:val="2BD414DD"/>
    <w:rsid w:val="2BF24CCB"/>
    <w:rsid w:val="2BFD6B16"/>
    <w:rsid w:val="2C153A9A"/>
    <w:rsid w:val="2C6770FE"/>
    <w:rsid w:val="2CA90A4C"/>
    <w:rsid w:val="2CAC3FFC"/>
    <w:rsid w:val="2CDC497D"/>
    <w:rsid w:val="2D0B1D51"/>
    <w:rsid w:val="2D693697"/>
    <w:rsid w:val="2D776454"/>
    <w:rsid w:val="2DA32A8E"/>
    <w:rsid w:val="2DF53F49"/>
    <w:rsid w:val="2DF800DB"/>
    <w:rsid w:val="2E0B376C"/>
    <w:rsid w:val="2E1D56D6"/>
    <w:rsid w:val="2E6C638D"/>
    <w:rsid w:val="2E9B6172"/>
    <w:rsid w:val="2EBB4D1F"/>
    <w:rsid w:val="2EFE6E2D"/>
    <w:rsid w:val="2F06504D"/>
    <w:rsid w:val="2F0D14F8"/>
    <w:rsid w:val="2F2148C9"/>
    <w:rsid w:val="2F40249E"/>
    <w:rsid w:val="2F7F7180"/>
    <w:rsid w:val="2FA200FA"/>
    <w:rsid w:val="2FAA2B11"/>
    <w:rsid w:val="2FCF2577"/>
    <w:rsid w:val="2FD4776E"/>
    <w:rsid w:val="2FE853E7"/>
    <w:rsid w:val="2FF064DB"/>
    <w:rsid w:val="30540F92"/>
    <w:rsid w:val="307B2640"/>
    <w:rsid w:val="307D6477"/>
    <w:rsid w:val="309A1674"/>
    <w:rsid w:val="313703D4"/>
    <w:rsid w:val="31437C1B"/>
    <w:rsid w:val="31496359"/>
    <w:rsid w:val="31573987"/>
    <w:rsid w:val="3161549B"/>
    <w:rsid w:val="31666F0B"/>
    <w:rsid w:val="317B29B7"/>
    <w:rsid w:val="318B0720"/>
    <w:rsid w:val="3195334D"/>
    <w:rsid w:val="31A35A6A"/>
    <w:rsid w:val="31D73965"/>
    <w:rsid w:val="31FC517A"/>
    <w:rsid w:val="321144EB"/>
    <w:rsid w:val="324059AE"/>
    <w:rsid w:val="32456B21"/>
    <w:rsid w:val="32966C7A"/>
    <w:rsid w:val="32C1374A"/>
    <w:rsid w:val="32DA370D"/>
    <w:rsid w:val="32E97DF4"/>
    <w:rsid w:val="32EB67E2"/>
    <w:rsid w:val="331D25F3"/>
    <w:rsid w:val="33353968"/>
    <w:rsid w:val="33863895"/>
    <w:rsid w:val="33AF6B50"/>
    <w:rsid w:val="33B757FC"/>
    <w:rsid w:val="341923BE"/>
    <w:rsid w:val="3498562E"/>
    <w:rsid w:val="34D76221"/>
    <w:rsid w:val="34D825BE"/>
    <w:rsid w:val="35002144"/>
    <w:rsid w:val="35262C3A"/>
    <w:rsid w:val="35794D6E"/>
    <w:rsid w:val="35A206E0"/>
    <w:rsid w:val="35B30C8C"/>
    <w:rsid w:val="35CE6E2D"/>
    <w:rsid w:val="35FC1BEC"/>
    <w:rsid w:val="361103BA"/>
    <w:rsid w:val="36160F00"/>
    <w:rsid w:val="363E3FB3"/>
    <w:rsid w:val="3667175C"/>
    <w:rsid w:val="36864A0B"/>
    <w:rsid w:val="36EA5EE9"/>
    <w:rsid w:val="375459EB"/>
    <w:rsid w:val="37656CA4"/>
    <w:rsid w:val="37753A04"/>
    <w:rsid w:val="379E232E"/>
    <w:rsid w:val="3811480C"/>
    <w:rsid w:val="383733B0"/>
    <w:rsid w:val="385E26EA"/>
    <w:rsid w:val="386E535C"/>
    <w:rsid w:val="387F6BCD"/>
    <w:rsid w:val="388F6D48"/>
    <w:rsid w:val="389536D2"/>
    <w:rsid w:val="389A2901"/>
    <w:rsid w:val="38B46C51"/>
    <w:rsid w:val="38CA6556"/>
    <w:rsid w:val="39047736"/>
    <w:rsid w:val="39267065"/>
    <w:rsid w:val="39454787"/>
    <w:rsid w:val="394A6E41"/>
    <w:rsid w:val="397D27F8"/>
    <w:rsid w:val="398B2537"/>
    <w:rsid w:val="39A16390"/>
    <w:rsid w:val="39BC591B"/>
    <w:rsid w:val="39CB2E5A"/>
    <w:rsid w:val="39ED01CA"/>
    <w:rsid w:val="39EE1E9E"/>
    <w:rsid w:val="39EE511E"/>
    <w:rsid w:val="3A190FBF"/>
    <w:rsid w:val="3A4E65A0"/>
    <w:rsid w:val="3AD62A0C"/>
    <w:rsid w:val="3B4C74FE"/>
    <w:rsid w:val="3B506F06"/>
    <w:rsid w:val="3B6F4C0F"/>
    <w:rsid w:val="3BC63D6C"/>
    <w:rsid w:val="3C017F5D"/>
    <w:rsid w:val="3C0343EB"/>
    <w:rsid w:val="3C300842"/>
    <w:rsid w:val="3C6648CA"/>
    <w:rsid w:val="3C8D1A2E"/>
    <w:rsid w:val="3C925059"/>
    <w:rsid w:val="3CBC3E83"/>
    <w:rsid w:val="3CD967E3"/>
    <w:rsid w:val="3D4D47B2"/>
    <w:rsid w:val="3D7B789B"/>
    <w:rsid w:val="3D815CD4"/>
    <w:rsid w:val="3D963DBA"/>
    <w:rsid w:val="3DA037A5"/>
    <w:rsid w:val="3DFA2EB5"/>
    <w:rsid w:val="3E483C21"/>
    <w:rsid w:val="3E6A2A38"/>
    <w:rsid w:val="3EC01C0C"/>
    <w:rsid w:val="3F35246E"/>
    <w:rsid w:val="3F4C285C"/>
    <w:rsid w:val="3F6C0939"/>
    <w:rsid w:val="3FB83583"/>
    <w:rsid w:val="3FE200A5"/>
    <w:rsid w:val="3FF81676"/>
    <w:rsid w:val="400718BA"/>
    <w:rsid w:val="400D07C9"/>
    <w:rsid w:val="401146D6"/>
    <w:rsid w:val="405420C7"/>
    <w:rsid w:val="407C5E04"/>
    <w:rsid w:val="40842F0A"/>
    <w:rsid w:val="408B4299"/>
    <w:rsid w:val="40B03CFF"/>
    <w:rsid w:val="40FC5196"/>
    <w:rsid w:val="4113639B"/>
    <w:rsid w:val="414C6028"/>
    <w:rsid w:val="41D10249"/>
    <w:rsid w:val="42015F97"/>
    <w:rsid w:val="421F113C"/>
    <w:rsid w:val="421F2EEA"/>
    <w:rsid w:val="42725710"/>
    <w:rsid w:val="429168C1"/>
    <w:rsid w:val="42BE103C"/>
    <w:rsid w:val="43140A2D"/>
    <w:rsid w:val="431A2C1B"/>
    <w:rsid w:val="432404AC"/>
    <w:rsid w:val="4339622E"/>
    <w:rsid w:val="436575FF"/>
    <w:rsid w:val="438E0A87"/>
    <w:rsid w:val="43B6162D"/>
    <w:rsid w:val="43FB3E20"/>
    <w:rsid w:val="443C4228"/>
    <w:rsid w:val="446E63AB"/>
    <w:rsid w:val="44C67F95"/>
    <w:rsid w:val="451F1F54"/>
    <w:rsid w:val="455573DF"/>
    <w:rsid w:val="45811396"/>
    <w:rsid w:val="467412A4"/>
    <w:rsid w:val="468772B0"/>
    <w:rsid w:val="469134DC"/>
    <w:rsid w:val="469928C8"/>
    <w:rsid w:val="46B502C1"/>
    <w:rsid w:val="47391A6C"/>
    <w:rsid w:val="47414BDF"/>
    <w:rsid w:val="4742411D"/>
    <w:rsid w:val="474C6033"/>
    <w:rsid w:val="47707270"/>
    <w:rsid w:val="477535AD"/>
    <w:rsid w:val="47941C85"/>
    <w:rsid w:val="47B16CDB"/>
    <w:rsid w:val="47CE30B0"/>
    <w:rsid w:val="47D77DC3"/>
    <w:rsid w:val="47F4330E"/>
    <w:rsid w:val="48030BB8"/>
    <w:rsid w:val="48174664"/>
    <w:rsid w:val="489B1DE1"/>
    <w:rsid w:val="48A863FB"/>
    <w:rsid w:val="48CE566A"/>
    <w:rsid w:val="48D40488"/>
    <w:rsid w:val="48FE79D6"/>
    <w:rsid w:val="492359B6"/>
    <w:rsid w:val="49425710"/>
    <w:rsid w:val="49575660"/>
    <w:rsid w:val="49B45578"/>
    <w:rsid w:val="4A0250DD"/>
    <w:rsid w:val="4A3C5376"/>
    <w:rsid w:val="4A46477D"/>
    <w:rsid w:val="4A7638C4"/>
    <w:rsid w:val="4A8A736F"/>
    <w:rsid w:val="4AA30737"/>
    <w:rsid w:val="4AC05487"/>
    <w:rsid w:val="4ADB31FA"/>
    <w:rsid w:val="4AE75720"/>
    <w:rsid w:val="4AF30483"/>
    <w:rsid w:val="4AF83184"/>
    <w:rsid w:val="4B101F6A"/>
    <w:rsid w:val="4B1F21AD"/>
    <w:rsid w:val="4B647BC0"/>
    <w:rsid w:val="4B8822DF"/>
    <w:rsid w:val="4B9F6E4A"/>
    <w:rsid w:val="4BD301A6"/>
    <w:rsid w:val="4BFC011F"/>
    <w:rsid w:val="4C1C1CF5"/>
    <w:rsid w:val="4C7116FF"/>
    <w:rsid w:val="4C7F2DCA"/>
    <w:rsid w:val="4CA02E7A"/>
    <w:rsid w:val="4CF033E1"/>
    <w:rsid w:val="4CF17F56"/>
    <w:rsid w:val="4D2E492A"/>
    <w:rsid w:val="4D551EB6"/>
    <w:rsid w:val="4DB15C4E"/>
    <w:rsid w:val="4E197388"/>
    <w:rsid w:val="4E1B649F"/>
    <w:rsid w:val="4E5008D0"/>
    <w:rsid w:val="4E616639"/>
    <w:rsid w:val="4E9B1B4B"/>
    <w:rsid w:val="4F557DA1"/>
    <w:rsid w:val="4F5D5052"/>
    <w:rsid w:val="4F697E9B"/>
    <w:rsid w:val="4F6C798B"/>
    <w:rsid w:val="4F7505EE"/>
    <w:rsid w:val="5012408F"/>
    <w:rsid w:val="5017316E"/>
    <w:rsid w:val="507547B0"/>
    <w:rsid w:val="50760D56"/>
    <w:rsid w:val="50907386"/>
    <w:rsid w:val="509947B0"/>
    <w:rsid w:val="50B17265"/>
    <w:rsid w:val="50C42AC9"/>
    <w:rsid w:val="50EC48E0"/>
    <w:rsid w:val="5153495F"/>
    <w:rsid w:val="51905BB3"/>
    <w:rsid w:val="51996504"/>
    <w:rsid w:val="51AE428B"/>
    <w:rsid w:val="51FD48CA"/>
    <w:rsid w:val="51FE6429"/>
    <w:rsid w:val="520E0886"/>
    <w:rsid w:val="520E63D6"/>
    <w:rsid w:val="522C47C1"/>
    <w:rsid w:val="526861E8"/>
    <w:rsid w:val="52AD009F"/>
    <w:rsid w:val="52B07B8F"/>
    <w:rsid w:val="52BB1C34"/>
    <w:rsid w:val="53004672"/>
    <w:rsid w:val="53202F66"/>
    <w:rsid w:val="53210AC4"/>
    <w:rsid w:val="533B4921"/>
    <w:rsid w:val="53765FB4"/>
    <w:rsid w:val="53A21BCD"/>
    <w:rsid w:val="53D00779"/>
    <w:rsid w:val="53D0673A"/>
    <w:rsid w:val="53E2021C"/>
    <w:rsid w:val="53E53868"/>
    <w:rsid w:val="540D34EB"/>
    <w:rsid w:val="541969E6"/>
    <w:rsid w:val="54464986"/>
    <w:rsid w:val="549C2AC3"/>
    <w:rsid w:val="54A03DE4"/>
    <w:rsid w:val="54CA0AA9"/>
    <w:rsid w:val="54CF69F2"/>
    <w:rsid w:val="54DE2DF9"/>
    <w:rsid w:val="5503137F"/>
    <w:rsid w:val="55191AA8"/>
    <w:rsid w:val="552D1A7A"/>
    <w:rsid w:val="552F7491"/>
    <w:rsid w:val="556220DD"/>
    <w:rsid w:val="558A6E6B"/>
    <w:rsid w:val="55A97243"/>
    <w:rsid w:val="55D46FAF"/>
    <w:rsid w:val="55EF3097"/>
    <w:rsid w:val="563D5BDD"/>
    <w:rsid w:val="56701E55"/>
    <w:rsid w:val="56924848"/>
    <w:rsid w:val="56955A19"/>
    <w:rsid w:val="571519D8"/>
    <w:rsid w:val="57236B81"/>
    <w:rsid w:val="572528F9"/>
    <w:rsid w:val="578C2978"/>
    <w:rsid w:val="579927C7"/>
    <w:rsid w:val="57AF1A9D"/>
    <w:rsid w:val="57BD46C4"/>
    <w:rsid w:val="57C40364"/>
    <w:rsid w:val="57FE314A"/>
    <w:rsid w:val="58006EC2"/>
    <w:rsid w:val="58143BF8"/>
    <w:rsid w:val="584119B5"/>
    <w:rsid w:val="58490869"/>
    <w:rsid w:val="593E5EF4"/>
    <w:rsid w:val="5948425F"/>
    <w:rsid w:val="59594B73"/>
    <w:rsid w:val="598111E7"/>
    <w:rsid w:val="598B5400"/>
    <w:rsid w:val="59C86D24"/>
    <w:rsid w:val="59E70264"/>
    <w:rsid w:val="59F86C66"/>
    <w:rsid w:val="5A1E20C2"/>
    <w:rsid w:val="5A231045"/>
    <w:rsid w:val="5A3C3F0A"/>
    <w:rsid w:val="5A737E20"/>
    <w:rsid w:val="5AA117E4"/>
    <w:rsid w:val="5AAB580B"/>
    <w:rsid w:val="5B436B95"/>
    <w:rsid w:val="5B5E07F4"/>
    <w:rsid w:val="5B987E52"/>
    <w:rsid w:val="5BAA7871"/>
    <w:rsid w:val="5BAB1EA8"/>
    <w:rsid w:val="5BBA6AE7"/>
    <w:rsid w:val="5BC36731"/>
    <w:rsid w:val="5BEA2363"/>
    <w:rsid w:val="5BF63A6F"/>
    <w:rsid w:val="5BF840AA"/>
    <w:rsid w:val="5C0F6F11"/>
    <w:rsid w:val="5C5B01E8"/>
    <w:rsid w:val="5CC87FCB"/>
    <w:rsid w:val="5CC9246D"/>
    <w:rsid w:val="5CFD7E74"/>
    <w:rsid w:val="5D084AE0"/>
    <w:rsid w:val="5D1E0517"/>
    <w:rsid w:val="5D537A94"/>
    <w:rsid w:val="5D9702C9"/>
    <w:rsid w:val="5DF23751"/>
    <w:rsid w:val="5E096F7B"/>
    <w:rsid w:val="5E4D604C"/>
    <w:rsid w:val="5E601747"/>
    <w:rsid w:val="5E6136D3"/>
    <w:rsid w:val="5EAF519E"/>
    <w:rsid w:val="5EC7698C"/>
    <w:rsid w:val="5EE50BC0"/>
    <w:rsid w:val="5EE62E4A"/>
    <w:rsid w:val="5F293F2C"/>
    <w:rsid w:val="5F3A79F2"/>
    <w:rsid w:val="5F9D6266"/>
    <w:rsid w:val="5FF94923"/>
    <w:rsid w:val="600B28A8"/>
    <w:rsid w:val="60385A7F"/>
    <w:rsid w:val="60392E2E"/>
    <w:rsid w:val="603D2F63"/>
    <w:rsid w:val="60A7051F"/>
    <w:rsid w:val="60AB55CD"/>
    <w:rsid w:val="60B42F40"/>
    <w:rsid w:val="60C36D93"/>
    <w:rsid w:val="61002126"/>
    <w:rsid w:val="610F4283"/>
    <w:rsid w:val="61102FC1"/>
    <w:rsid w:val="612742F0"/>
    <w:rsid w:val="613F6CAD"/>
    <w:rsid w:val="61994610"/>
    <w:rsid w:val="61A130D2"/>
    <w:rsid w:val="61A94127"/>
    <w:rsid w:val="61CB6793"/>
    <w:rsid w:val="61E82EA1"/>
    <w:rsid w:val="621A6DD3"/>
    <w:rsid w:val="6220088D"/>
    <w:rsid w:val="626D585E"/>
    <w:rsid w:val="62A96AD4"/>
    <w:rsid w:val="62C03E1E"/>
    <w:rsid w:val="62D85E08"/>
    <w:rsid w:val="62E22C18"/>
    <w:rsid w:val="62EA0E9B"/>
    <w:rsid w:val="63554566"/>
    <w:rsid w:val="63676604"/>
    <w:rsid w:val="6376479A"/>
    <w:rsid w:val="637C7D45"/>
    <w:rsid w:val="63847AD9"/>
    <w:rsid w:val="63902345"/>
    <w:rsid w:val="63EA6138"/>
    <w:rsid w:val="63FC326C"/>
    <w:rsid w:val="63FE6114"/>
    <w:rsid w:val="64076608"/>
    <w:rsid w:val="64504D2E"/>
    <w:rsid w:val="64AC349D"/>
    <w:rsid w:val="64D4770D"/>
    <w:rsid w:val="64DE67DD"/>
    <w:rsid w:val="64EF2799"/>
    <w:rsid w:val="650A501A"/>
    <w:rsid w:val="65402FF4"/>
    <w:rsid w:val="655E7726"/>
    <w:rsid w:val="659F5F6D"/>
    <w:rsid w:val="65BD2897"/>
    <w:rsid w:val="66146F77"/>
    <w:rsid w:val="6654405B"/>
    <w:rsid w:val="66643CF1"/>
    <w:rsid w:val="66735D45"/>
    <w:rsid w:val="66CB4B3F"/>
    <w:rsid w:val="66D734E4"/>
    <w:rsid w:val="66ED3F8F"/>
    <w:rsid w:val="67024A05"/>
    <w:rsid w:val="670A1B0C"/>
    <w:rsid w:val="673FDACA"/>
    <w:rsid w:val="6762361F"/>
    <w:rsid w:val="67A942EF"/>
    <w:rsid w:val="67CA4DF7"/>
    <w:rsid w:val="67CE3081"/>
    <w:rsid w:val="683571E4"/>
    <w:rsid w:val="68676FBD"/>
    <w:rsid w:val="68D074FA"/>
    <w:rsid w:val="68EB550B"/>
    <w:rsid w:val="68F14D31"/>
    <w:rsid w:val="69102791"/>
    <w:rsid w:val="69174772"/>
    <w:rsid w:val="69280027"/>
    <w:rsid w:val="692F7608"/>
    <w:rsid w:val="695704D8"/>
    <w:rsid w:val="69961435"/>
    <w:rsid w:val="6A1474C3"/>
    <w:rsid w:val="6A386990"/>
    <w:rsid w:val="6A3D5D54"/>
    <w:rsid w:val="6A42336B"/>
    <w:rsid w:val="6A4946F9"/>
    <w:rsid w:val="6A6E5F0E"/>
    <w:rsid w:val="6A700718"/>
    <w:rsid w:val="6A935974"/>
    <w:rsid w:val="6AA27A80"/>
    <w:rsid w:val="6AD03491"/>
    <w:rsid w:val="6B65400E"/>
    <w:rsid w:val="6B7A2F8F"/>
    <w:rsid w:val="6BA87E7A"/>
    <w:rsid w:val="6BB93489"/>
    <w:rsid w:val="6BCF5D39"/>
    <w:rsid w:val="6BF07943"/>
    <w:rsid w:val="6BF97D99"/>
    <w:rsid w:val="6C2471CC"/>
    <w:rsid w:val="6C3F2D24"/>
    <w:rsid w:val="6C441E57"/>
    <w:rsid w:val="6C5A499B"/>
    <w:rsid w:val="6C5D623A"/>
    <w:rsid w:val="6C635F46"/>
    <w:rsid w:val="6C8369D6"/>
    <w:rsid w:val="6C937EAD"/>
    <w:rsid w:val="6CA67BE1"/>
    <w:rsid w:val="6CB71DEE"/>
    <w:rsid w:val="6CC12C6C"/>
    <w:rsid w:val="6CD62114"/>
    <w:rsid w:val="6CF30C09"/>
    <w:rsid w:val="6CF36C72"/>
    <w:rsid w:val="6D157673"/>
    <w:rsid w:val="6D4A2C62"/>
    <w:rsid w:val="6D5B3CAF"/>
    <w:rsid w:val="6D6367BF"/>
    <w:rsid w:val="6D8F38AF"/>
    <w:rsid w:val="6D9B34BE"/>
    <w:rsid w:val="6DBD1686"/>
    <w:rsid w:val="6DF06115"/>
    <w:rsid w:val="6DF8446C"/>
    <w:rsid w:val="6E2C4ACE"/>
    <w:rsid w:val="6E2E7B7C"/>
    <w:rsid w:val="6EB515E0"/>
    <w:rsid w:val="6EC16F54"/>
    <w:rsid w:val="6EEE586F"/>
    <w:rsid w:val="6F0E5412"/>
    <w:rsid w:val="6F1572A0"/>
    <w:rsid w:val="6F451933"/>
    <w:rsid w:val="6F5C4ECE"/>
    <w:rsid w:val="6F5E47A3"/>
    <w:rsid w:val="6F7C2E7B"/>
    <w:rsid w:val="6FB463F2"/>
    <w:rsid w:val="6FD20CED"/>
    <w:rsid w:val="6FEF5D43"/>
    <w:rsid w:val="702E686B"/>
    <w:rsid w:val="704140CF"/>
    <w:rsid w:val="704F1C4C"/>
    <w:rsid w:val="705B5186"/>
    <w:rsid w:val="70875F7B"/>
    <w:rsid w:val="709D579F"/>
    <w:rsid w:val="70C04FE9"/>
    <w:rsid w:val="70E86758"/>
    <w:rsid w:val="70E874C4"/>
    <w:rsid w:val="70EC5DDE"/>
    <w:rsid w:val="713752AB"/>
    <w:rsid w:val="71AB4B40"/>
    <w:rsid w:val="7292535E"/>
    <w:rsid w:val="731F06ED"/>
    <w:rsid w:val="73320420"/>
    <w:rsid w:val="7379604F"/>
    <w:rsid w:val="73876155"/>
    <w:rsid w:val="73B057E9"/>
    <w:rsid w:val="74130252"/>
    <w:rsid w:val="74880490"/>
    <w:rsid w:val="74B8214F"/>
    <w:rsid w:val="74C4154C"/>
    <w:rsid w:val="74CC159B"/>
    <w:rsid w:val="74D177C5"/>
    <w:rsid w:val="74E7348C"/>
    <w:rsid w:val="75071C72"/>
    <w:rsid w:val="75096F5F"/>
    <w:rsid w:val="752843FD"/>
    <w:rsid w:val="75866801"/>
    <w:rsid w:val="759265D8"/>
    <w:rsid w:val="75947170"/>
    <w:rsid w:val="759C4277"/>
    <w:rsid w:val="75A30B84"/>
    <w:rsid w:val="75D52037"/>
    <w:rsid w:val="760D5D5E"/>
    <w:rsid w:val="76375A73"/>
    <w:rsid w:val="766723EC"/>
    <w:rsid w:val="76766876"/>
    <w:rsid w:val="76AA52AD"/>
    <w:rsid w:val="76C30C21"/>
    <w:rsid w:val="76DA5057"/>
    <w:rsid w:val="76E23F0B"/>
    <w:rsid w:val="77130B22"/>
    <w:rsid w:val="771A18F7"/>
    <w:rsid w:val="77356731"/>
    <w:rsid w:val="776E39F1"/>
    <w:rsid w:val="77996CC0"/>
    <w:rsid w:val="77CE0BD8"/>
    <w:rsid w:val="77DB1A01"/>
    <w:rsid w:val="77DE3A19"/>
    <w:rsid w:val="77E35E9B"/>
    <w:rsid w:val="78422B52"/>
    <w:rsid w:val="786935ED"/>
    <w:rsid w:val="78766050"/>
    <w:rsid w:val="78945E4A"/>
    <w:rsid w:val="78B813C8"/>
    <w:rsid w:val="78DB76FE"/>
    <w:rsid w:val="791906D8"/>
    <w:rsid w:val="79366790"/>
    <w:rsid w:val="796D2246"/>
    <w:rsid w:val="798D66C1"/>
    <w:rsid w:val="79B778D1"/>
    <w:rsid w:val="7A79605C"/>
    <w:rsid w:val="7A8D0632"/>
    <w:rsid w:val="7A8D418E"/>
    <w:rsid w:val="7A977B2D"/>
    <w:rsid w:val="7AE03DE0"/>
    <w:rsid w:val="7AF16FF7"/>
    <w:rsid w:val="7B024B7C"/>
    <w:rsid w:val="7B1E128A"/>
    <w:rsid w:val="7B810197"/>
    <w:rsid w:val="7B963516"/>
    <w:rsid w:val="7BA12366"/>
    <w:rsid w:val="7BC82850"/>
    <w:rsid w:val="7BED75DA"/>
    <w:rsid w:val="7C3A6597"/>
    <w:rsid w:val="7CAE71F2"/>
    <w:rsid w:val="7CB023B6"/>
    <w:rsid w:val="7CE4330E"/>
    <w:rsid w:val="7CF20C20"/>
    <w:rsid w:val="7D006E99"/>
    <w:rsid w:val="7D0B583E"/>
    <w:rsid w:val="7D0C062E"/>
    <w:rsid w:val="7D8775BA"/>
    <w:rsid w:val="7E0E1A8A"/>
    <w:rsid w:val="7E117874"/>
    <w:rsid w:val="7E41481C"/>
    <w:rsid w:val="7E4405C9"/>
    <w:rsid w:val="7E6416AA"/>
    <w:rsid w:val="7E6A3164"/>
    <w:rsid w:val="7EA00BDC"/>
    <w:rsid w:val="7EB02B41"/>
    <w:rsid w:val="7EC108AA"/>
    <w:rsid w:val="7F0F59A4"/>
    <w:rsid w:val="7F482D79"/>
    <w:rsid w:val="7F7122D0"/>
    <w:rsid w:val="7FCB2137"/>
    <w:rsid w:val="9FFEAE37"/>
    <w:rsid w:val="BEBC7E40"/>
    <w:rsid w:val="BFFD91FA"/>
    <w:rsid w:val="F74D8E3B"/>
    <w:rsid w:val="FBE9B9FE"/>
    <w:rsid w:val="FFF34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35"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qFormat/>
    <w:uiPriority w:val="9"/>
    <w:pPr>
      <w:keepNext/>
      <w:keepLines/>
      <w:spacing w:before="260" w:after="260" w:line="415" w:lineRule="auto"/>
      <w:outlineLvl w:val="1"/>
    </w:pPr>
    <w:rPr>
      <w:rFonts w:ascii="Arial" w:hAnsi="Arial" w:eastAsia="黑体"/>
      <w:b/>
      <w:bCs/>
      <w:sz w:val="32"/>
      <w:szCs w:val="32"/>
    </w:rPr>
  </w:style>
  <w:style w:type="paragraph" w:styleId="3">
    <w:name w:val="heading 3"/>
    <w:basedOn w:val="1"/>
    <w:next w:val="1"/>
    <w:autoRedefine/>
    <w:qFormat/>
    <w:uiPriority w:val="0"/>
    <w:pPr>
      <w:keepNext/>
      <w:keepLines/>
      <w:spacing w:before="260" w:after="260" w:line="416" w:lineRule="auto"/>
      <w:outlineLvl w:val="2"/>
    </w:pPr>
    <w:rPr>
      <w:b/>
      <w:bCs/>
      <w:sz w:val="32"/>
      <w:szCs w:val="32"/>
    </w:rPr>
  </w:style>
  <w:style w:type="paragraph" w:styleId="4">
    <w:name w:val="heading 4"/>
    <w:basedOn w:val="1"/>
    <w:next w:val="5"/>
    <w:autoRedefine/>
    <w:qFormat/>
    <w:uiPriority w:val="0"/>
    <w:pPr>
      <w:keepNext/>
      <w:keepLines/>
      <w:spacing w:before="280" w:after="290" w:line="376" w:lineRule="auto"/>
      <w:outlineLvl w:val="3"/>
    </w:pPr>
    <w:rPr>
      <w:rFonts w:ascii="Arial" w:hAnsi="Arial" w:eastAsia="黑体" w:cs="Arial"/>
      <w:b/>
      <w:bCs/>
      <w:sz w:val="28"/>
      <w:szCs w:val="28"/>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99"/>
    <w:pPr>
      <w:ind w:firstLine="420"/>
    </w:pPr>
    <w:rPr>
      <w:kern w:val="0"/>
      <w:szCs w:val="20"/>
    </w:rPr>
  </w:style>
  <w:style w:type="paragraph" w:styleId="6">
    <w:name w:val="caption"/>
    <w:basedOn w:val="1"/>
    <w:next w:val="1"/>
    <w:autoRedefine/>
    <w:qFormat/>
    <w:uiPriority w:val="35"/>
    <w:pPr>
      <w:numPr>
        <w:ilvl w:val="0"/>
        <w:numId w:val="1"/>
      </w:numPr>
      <w:jc w:val="center"/>
    </w:pPr>
  </w:style>
  <w:style w:type="paragraph" w:styleId="7">
    <w:name w:val="annotation text"/>
    <w:basedOn w:val="1"/>
    <w:link w:val="60"/>
    <w:autoRedefine/>
    <w:qFormat/>
    <w:uiPriority w:val="0"/>
    <w:pPr>
      <w:jc w:val="left"/>
    </w:pPr>
  </w:style>
  <w:style w:type="paragraph" w:styleId="8">
    <w:name w:val="Body Text"/>
    <w:basedOn w:val="1"/>
    <w:link w:val="65"/>
    <w:autoRedefine/>
    <w:qFormat/>
    <w:uiPriority w:val="0"/>
    <w:pPr>
      <w:jc w:val="center"/>
    </w:pPr>
    <w:rPr>
      <w:rFonts w:ascii="仿宋" w:eastAsia="仿宋"/>
      <w:kern w:val="44"/>
      <w:position w:val="6"/>
      <w:sz w:val="30"/>
      <w:szCs w:val="20"/>
    </w:rPr>
  </w:style>
  <w:style w:type="paragraph" w:styleId="9">
    <w:name w:val="Body Text Indent"/>
    <w:basedOn w:val="1"/>
    <w:autoRedefine/>
    <w:qFormat/>
    <w:uiPriority w:val="0"/>
    <w:pPr>
      <w:spacing w:after="120"/>
      <w:ind w:left="420" w:leftChars="200"/>
    </w:pPr>
  </w:style>
  <w:style w:type="paragraph" w:styleId="10">
    <w:name w:val="Plain Text"/>
    <w:basedOn w:val="1"/>
    <w:autoRedefine/>
    <w:qFormat/>
    <w:uiPriority w:val="0"/>
    <w:rPr>
      <w:rFonts w:ascii="宋体" w:hAnsi="Courier New"/>
    </w:rPr>
  </w:style>
  <w:style w:type="paragraph" w:styleId="11">
    <w:name w:val="Date"/>
    <w:basedOn w:val="1"/>
    <w:next w:val="1"/>
    <w:autoRedefine/>
    <w:qFormat/>
    <w:uiPriority w:val="0"/>
    <w:rPr>
      <w:rFonts w:ascii="宋体" w:hAnsi="宋体" w:eastAsia="楷体_GB2312"/>
      <w:sz w:val="24"/>
      <w:szCs w:val="20"/>
    </w:rPr>
  </w:style>
  <w:style w:type="paragraph" w:styleId="12">
    <w:name w:val="Body Text Indent 2"/>
    <w:basedOn w:val="1"/>
    <w:autoRedefine/>
    <w:qFormat/>
    <w:uiPriority w:val="0"/>
    <w:pPr>
      <w:spacing w:after="120" w:line="480" w:lineRule="auto"/>
      <w:ind w:left="420" w:leftChars="200"/>
    </w:pPr>
    <w:rPr>
      <w:rFonts w:ascii="Calibri" w:hAnsi="Calibri"/>
    </w:rPr>
  </w:style>
  <w:style w:type="paragraph" w:styleId="13">
    <w:name w:val="footer"/>
    <w:basedOn w:val="1"/>
    <w:link w:val="66"/>
    <w:autoRedefine/>
    <w:qFormat/>
    <w:uiPriority w:val="99"/>
    <w:pPr>
      <w:tabs>
        <w:tab w:val="center" w:pos="4153"/>
        <w:tab w:val="right" w:pos="8306"/>
      </w:tabs>
      <w:snapToGrid w:val="0"/>
      <w:jc w:val="left"/>
    </w:pPr>
    <w:rPr>
      <w:sz w:val="18"/>
      <w:szCs w:val="18"/>
    </w:rPr>
  </w:style>
  <w:style w:type="paragraph" w:styleId="14">
    <w:name w:val="envelope return"/>
    <w:basedOn w:val="1"/>
    <w:autoRedefine/>
    <w:qFormat/>
    <w:uiPriority w:val="0"/>
    <w:pPr>
      <w:snapToGrid w:val="0"/>
    </w:pPr>
    <w:rPr>
      <w:rFonts w:ascii="Arial" w:hAnsi="Arial"/>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0"/>
    <w:pPr>
      <w:spacing w:before="120" w:after="120"/>
      <w:jc w:val="left"/>
    </w:pPr>
    <w:rPr>
      <w:b/>
      <w:bCs/>
      <w:caps/>
      <w:sz w:val="20"/>
      <w:szCs w:val="20"/>
    </w:rPr>
  </w:style>
  <w:style w:type="paragraph" w:styleId="17">
    <w:name w:val="index heading"/>
    <w:basedOn w:val="1"/>
    <w:next w:val="18"/>
    <w:autoRedefine/>
    <w:semiHidden/>
    <w:qFormat/>
    <w:uiPriority w:val="0"/>
    <w:pPr>
      <w:spacing w:line="360" w:lineRule="auto"/>
      <w:ind w:firstLine="482"/>
    </w:pPr>
    <w:rPr>
      <w:rFonts w:ascii="Footlight MT Light" w:hAnsi="Footlight MT Light"/>
      <w:sz w:val="24"/>
      <w:szCs w:val="20"/>
    </w:rPr>
  </w:style>
  <w:style w:type="paragraph" w:styleId="18">
    <w:name w:val="index 1"/>
    <w:basedOn w:val="1"/>
    <w:next w:val="1"/>
    <w:autoRedefine/>
    <w:semiHidden/>
    <w:qFormat/>
    <w:uiPriority w:val="0"/>
  </w:style>
  <w:style w:type="paragraph" w:styleId="19">
    <w:name w:val="toc 6"/>
    <w:basedOn w:val="1"/>
    <w:next w:val="1"/>
    <w:autoRedefine/>
    <w:semiHidden/>
    <w:qFormat/>
    <w:uiPriority w:val="0"/>
    <w:pPr>
      <w:ind w:left="1050"/>
      <w:jc w:val="left"/>
    </w:pPr>
    <w:rPr>
      <w:sz w:val="18"/>
      <w:szCs w:val="18"/>
    </w:rPr>
  </w:style>
  <w:style w:type="paragraph" w:styleId="20">
    <w:name w:val="index 9"/>
    <w:basedOn w:val="1"/>
    <w:next w:val="1"/>
    <w:autoRedefine/>
    <w:qFormat/>
    <w:uiPriority w:val="0"/>
    <w:pPr>
      <w:ind w:left="1890" w:hanging="210"/>
      <w:jc w:val="left"/>
    </w:pPr>
  </w:style>
  <w:style w:type="paragraph" w:styleId="21">
    <w:name w:val="toc 2"/>
    <w:basedOn w:val="1"/>
    <w:next w:val="1"/>
    <w:autoRedefine/>
    <w:qFormat/>
    <w:uiPriority w:val="0"/>
    <w:pPr>
      <w:ind w:left="210"/>
      <w:jc w:val="left"/>
    </w:pPr>
    <w:rPr>
      <w:smallCaps/>
      <w:sz w:val="20"/>
      <w:szCs w:val="20"/>
    </w:rPr>
  </w:style>
  <w:style w:type="paragraph" w:styleId="22">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3">
    <w:name w:val="Title"/>
    <w:basedOn w:val="1"/>
    <w:next w:val="1"/>
    <w:autoRedefine/>
    <w:qFormat/>
    <w:uiPriority w:val="10"/>
    <w:pPr>
      <w:spacing w:before="240" w:after="60"/>
      <w:jc w:val="center"/>
      <w:outlineLvl w:val="0"/>
    </w:pPr>
    <w:rPr>
      <w:rFonts w:ascii="Cambria" w:hAnsi="Cambria"/>
      <w:b/>
      <w:bCs/>
      <w:sz w:val="32"/>
      <w:szCs w:val="32"/>
    </w:rPr>
  </w:style>
  <w:style w:type="paragraph" w:styleId="24">
    <w:name w:val="annotation subject"/>
    <w:basedOn w:val="7"/>
    <w:next w:val="7"/>
    <w:link w:val="61"/>
    <w:autoRedefine/>
    <w:qFormat/>
    <w:uiPriority w:val="0"/>
    <w:rPr>
      <w:b/>
      <w:bCs/>
    </w:rPr>
  </w:style>
  <w:style w:type="paragraph" w:styleId="25">
    <w:name w:val="Body Text First Indent"/>
    <w:basedOn w:val="1"/>
    <w:autoRedefine/>
    <w:qFormat/>
    <w:uiPriority w:val="0"/>
    <w:pPr>
      <w:ind w:firstLine="420" w:firstLineChars="100"/>
    </w:pPr>
  </w:style>
  <w:style w:type="paragraph" w:styleId="26">
    <w:name w:val="Body Text First Indent 2"/>
    <w:basedOn w:val="9"/>
    <w:autoRedefine/>
    <w:qFormat/>
    <w:uiPriority w:val="0"/>
    <w:pPr>
      <w:ind w:firstLine="420"/>
    </w:p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autoRedefine/>
    <w:qFormat/>
    <w:uiPriority w:val="0"/>
    <w:rPr>
      <w:rFonts w:ascii="Times New Roman" w:hAnsi="Times New Roman" w:eastAsia="宋体" w:cs="Times New Roman"/>
    </w:rPr>
  </w:style>
  <w:style w:type="character" w:styleId="31">
    <w:name w:val="Hyperlink"/>
    <w:basedOn w:val="29"/>
    <w:autoRedefine/>
    <w:qFormat/>
    <w:uiPriority w:val="0"/>
    <w:rPr>
      <w:color w:val="0000FF"/>
      <w:u w:val="single"/>
    </w:rPr>
  </w:style>
  <w:style w:type="character" w:styleId="32">
    <w:name w:val="annotation reference"/>
    <w:basedOn w:val="29"/>
    <w:autoRedefine/>
    <w:qFormat/>
    <w:uiPriority w:val="0"/>
    <w:rPr>
      <w:sz w:val="21"/>
      <w:szCs w:val="21"/>
    </w:rPr>
  </w:style>
  <w:style w:type="paragraph" w:customStyle="1" w:styleId="33">
    <w:name w:val="段"/>
    <w:next w:val="1"/>
    <w:autoRedefine/>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34">
    <w:name w:val="Fließtext"/>
    <w:basedOn w:val="35"/>
    <w:autoRedefine/>
    <w:qFormat/>
    <w:uiPriority w:val="0"/>
    <w:pPr>
      <w:overflowPunct w:val="0"/>
      <w:adjustRightInd w:val="0"/>
      <w:textAlignment w:val="baseline"/>
    </w:pPr>
    <w:rPr>
      <w:kern w:val="28"/>
      <w:szCs w:val="20"/>
    </w:rPr>
  </w:style>
  <w:style w:type="paragraph" w:customStyle="1" w:styleId="35">
    <w:name w:val="正文_0_0_0_0_0"/>
    <w:basedOn w:val="36"/>
    <w:next w:val="3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
    <w:name w:val="正文_0_0_0"/>
    <w:basedOn w:val="37"/>
    <w:autoRedefine/>
    <w:qFormat/>
    <w:uiPriority w:val="0"/>
    <w:rPr>
      <w:rFonts w:ascii="Times New Roman" w:hAnsi="Times New Roman" w:eastAsia="宋体" w:cs="Times New Roman"/>
      <w:szCs w:val="21"/>
    </w:rPr>
  </w:style>
  <w:style w:type="paragraph" w:customStyle="1" w:styleId="37">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
    <w:name w:val="_Style 3"/>
    <w:autoRedefine/>
    <w:qFormat/>
    <w:uiPriority w:val="1"/>
    <w:rPr>
      <w:rFonts w:ascii="Calibri" w:hAnsi="Calibri" w:eastAsia="宋体" w:cs="Times New Roman"/>
      <w:sz w:val="22"/>
      <w:szCs w:val="22"/>
      <w:lang w:val="en-US" w:eastAsia="zh-CN" w:bidi="ar-SA"/>
    </w:rPr>
  </w:style>
  <w:style w:type="paragraph" w:customStyle="1" w:styleId="39">
    <w:name w:val="引文目录1"/>
    <w:basedOn w:val="1"/>
    <w:next w:val="1"/>
    <w:autoRedefine/>
    <w:qFormat/>
    <w:uiPriority w:val="0"/>
    <w:pPr>
      <w:ind w:left="420" w:leftChars="200"/>
    </w:pPr>
  </w:style>
  <w:style w:type="paragraph" w:customStyle="1" w:styleId="40">
    <w:name w:val="列出段落1"/>
    <w:basedOn w:val="1"/>
    <w:autoRedefine/>
    <w:qFormat/>
    <w:uiPriority w:val="34"/>
    <w:pPr>
      <w:ind w:firstLine="420" w:firstLineChars="200"/>
    </w:pPr>
  </w:style>
  <w:style w:type="paragraph" w:customStyle="1" w:styleId="41">
    <w:name w:val="Default"/>
    <w:autoRedefine/>
    <w:qFormat/>
    <w:uiPriority w:val="99"/>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42">
    <w:name w:val="表格文字"/>
    <w:basedOn w:val="10"/>
    <w:next w:val="8"/>
    <w:autoRedefine/>
    <w:qFormat/>
    <w:uiPriority w:val="0"/>
    <w:pPr>
      <w:adjustRightInd w:val="0"/>
      <w:spacing w:line="420" w:lineRule="atLeast"/>
      <w:jc w:val="left"/>
      <w:textAlignment w:val="baseline"/>
    </w:pPr>
    <w:rPr>
      <w:kern w:val="0"/>
      <w:szCs w:val="20"/>
    </w:rPr>
  </w:style>
  <w:style w:type="paragraph" w:customStyle="1" w:styleId="43">
    <w:name w:val="无间隔1"/>
    <w:autoRedefine/>
    <w:qFormat/>
    <w:uiPriority w:val="1"/>
    <w:pPr>
      <w:widowControl w:val="0"/>
      <w:spacing w:line="360" w:lineRule="auto"/>
      <w:jc w:val="center"/>
    </w:pPr>
    <w:rPr>
      <w:rFonts w:ascii="Times New Roman" w:hAnsi="Times New Roman" w:eastAsia="仿宋_GB2312" w:cs="Times New Roman"/>
      <w:kern w:val="2"/>
      <w:sz w:val="24"/>
      <w:szCs w:val="24"/>
      <w:lang w:val="en-US" w:eastAsia="zh-CN" w:bidi="ar-SA"/>
    </w:rPr>
  </w:style>
  <w:style w:type="paragraph" w:customStyle="1" w:styleId="44">
    <w:name w:val="正文（1）"/>
    <w:basedOn w:val="1"/>
    <w:autoRedefine/>
    <w:qFormat/>
    <w:uiPriority w:val="0"/>
    <w:pPr>
      <w:numPr>
        <w:ilvl w:val="0"/>
        <w:numId w:val="2"/>
      </w:numPr>
    </w:pPr>
    <w:rPr>
      <w:color w:val="000000"/>
    </w:rPr>
  </w:style>
  <w:style w:type="paragraph" w:customStyle="1" w:styleId="45">
    <w:name w:val="石墨文档正文"/>
    <w:autoRedefine/>
    <w:qFormat/>
    <w:uiPriority w:val="0"/>
    <w:rPr>
      <w:rFonts w:ascii="微软雅黑" w:hAnsi="微软雅黑" w:eastAsia="微软雅黑" w:cs="微软雅黑"/>
      <w:sz w:val="22"/>
      <w:szCs w:val="22"/>
      <w:lang w:val="en-US" w:eastAsia="zh-CN" w:bidi="ar-SA"/>
    </w:rPr>
  </w:style>
  <w:style w:type="character" w:customStyle="1" w:styleId="46">
    <w:name w:val="font101"/>
    <w:basedOn w:val="29"/>
    <w:autoRedefine/>
    <w:qFormat/>
    <w:uiPriority w:val="0"/>
    <w:rPr>
      <w:rFonts w:ascii="Calibri" w:hAnsi="Calibri" w:cs="Calibri"/>
      <w:color w:val="000000"/>
      <w:sz w:val="18"/>
      <w:szCs w:val="18"/>
      <w:u w:val="none"/>
    </w:rPr>
  </w:style>
  <w:style w:type="character" w:customStyle="1" w:styleId="47">
    <w:name w:val="font41"/>
    <w:basedOn w:val="29"/>
    <w:autoRedefine/>
    <w:qFormat/>
    <w:uiPriority w:val="0"/>
    <w:rPr>
      <w:rFonts w:hint="eastAsia" w:ascii="宋体" w:hAnsi="宋体" w:eastAsia="宋体" w:cs="宋体"/>
      <w:color w:val="000000"/>
      <w:sz w:val="24"/>
      <w:szCs w:val="24"/>
      <w:u w:val="none"/>
    </w:rPr>
  </w:style>
  <w:style w:type="character" w:customStyle="1" w:styleId="48">
    <w:name w:val="font111"/>
    <w:basedOn w:val="29"/>
    <w:autoRedefine/>
    <w:qFormat/>
    <w:uiPriority w:val="0"/>
    <w:rPr>
      <w:rFonts w:hint="eastAsia" w:ascii="宋体" w:hAnsi="宋体" w:eastAsia="宋体" w:cs="宋体"/>
      <w:color w:val="000000"/>
      <w:sz w:val="20"/>
      <w:szCs w:val="20"/>
      <w:u w:val="none"/>
    </w:rPr>
  </w:style>
  <w:style w:type="paragraph" w:customStyle="1" w:styleId="49">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50">
    <w:name w:val="普通(Web)4"/>
    <w:basedOn w:val="1"/>
    <w:autoRedefine/>
    <w:qFormat/>
    <w:uiPriority w:val="0"/>
    <w:pPr>
      <w:widowControl/>
      <w:spacing w:before="100" w:beforeAutospacing="1" w:after="100" w:afterAutospacing="1" w:line="375" w:lineRule="atLeast"/>
      <w:jc w:val="left"/>
    </w:pPr>
    <w:rPr>
      <w:rFonts w:ascii="ˎ̥" w:hAnsi="ˎ̥"/>
      <w:kern w:val="0"/>
      <w:sz w:val="24"/>
    </w:rPr>
  </w:style>
  <w:style w:type="paragraph" w:customStyle="1" w:styleId="51">
    <w:name w:val="正文 New New New New New New New New New New New New New New New1"/>
    <w:autoRedefine/>
    <w:qFormat/>
    <w:uiPriority w:val="0"/>
    <w:pPr>
      <w:widowControl w:val="0"/>
      <w:jc w:val="both"/>
    </w:pPr>
    <w:rPr>
      <w:rFonts w:ascii="Times New Roman" w:hAnsi="Times New Roman" w:eastAsia="宋体" w:cs="Times New Roman"/>
      <w:kern w:val="2"/>
      <w:sz w:val="24"/>
      <w:szCs w:val="24"/>
      <w:lang w:val="en-US" w:eastAsia="zh-CN" w:bidi="ar-SA"/>
    </w:rPr>
  </w:style>
  <w:style w:type="paragraph" w:customStyle="1" w:styleId="52">
    <w:name w:val="一级条标题"/>
    <w:basedOn w:val="53"/>
    <w:next w:val="33"/>
    <w:autoRedefine/>
    <w:qFormat/>
    <w:uiPriority w:val="0"/>
    <w:pPr>
      <w:tabs>
        <w:tab w:val="left" w:pos="810"/>
        <w:tab w:val="left" w:pos="907"/>
        <w:tab w:val="left" w:pos="1265"/>
      </w:tabs>
      <w:ind w:left="907" w:hanging="907"/>
      <w:outlineLvl w:val="2"/>
    </w:pPr>
    <w:rPr>
      <w:rFonts w:hAnsi="宋体"/>
    </w:rPr>
  </w:style>
  <w:style w:type="paragraph" w:customStyle="1" w:styleId="53">
    <w:name w:val="章标题"/>
    <w:next w:val="1"/>
    <w:autoRedefine/>
    <w:qFormat/>
    <w:uiPriority w:val="0"/>
    <w:pPr>
      <w:tabs>
        <w:tab w:val="left" w:pos="810"/>
        <w:tab w:val="left" w:pos="1265"/>
      </w:tabs>
      <w:spacing w:before="50" w:after="50"/>
      <w:ind w:left="810" w:hanging="810"/>
      <w:jc w:val="both"/>
      <w:outlineLvl w:val="1"/>
    </w:pPr>
    <w:rPr>
      <w:rFonts w:ascii="黑体" w:hAnsi="Calibri" w:eastAsia="宋体" w:cs="Times New Roman"/>
      <w:kern w:val="2"/>
      <w:sz w:val="21"/>
      <w:szCs w:val="22"/>
      <w:lang w:val="en-US" w:eastAsia="zh-CN" w:bidi="ar-SA"/>
    </w:rPr>
  </w:style>
  <w:style w:type="paragraph" w:customStyle="1" w:styleId="54">
    <w:name w:val="正文 A"/>
    <w:next w:val="1"/>
    <w:autoRedefine/>
    <w:qFormat/>
    <w:uiPriority w:val="99"/>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Arial Unicode MS"/>
      <w:color w:val="000000"/>
      <w:kern w:val="2"/>
      <w:sz w:val="21"/>
      <w:szCs w:val="21"/>
      <w:lang w:val="en-US" w:eastAsia="zh-CN" w:bidi="ar-SA"/>
    </w:rPr>
  </w:style>
  <w:style w:type="paragraph" w:customStyle="1" w:styleId="55">
    <w:name w:val="正文1"/>
    <w:basedOn w:val="1"/>
    <w:autoRedefine/>
    <w:qFormat/>
    <w:uiPriority w:val="0"/>
    <w:pPr>
      <w:spacing w:line="360" w:lineRule="auto"/>
      <w:ind w:firstLine="566" w:firstLineChars="202"/>
    </w:pPr>
    <w:rPr>
      <w:rFonts w:ascii="仿宋_GB2312" w:hAnsi="宋体" w:eastAsia="仿宋_GB2312"/>
      <w:kern w:val="0"/>
      <w:sz w:val="28"/>
      <w:szCs w:val="20"/>
    </w:rPr>
  </w:style>
  <w:style w:type="paragraph" w:customStyle="1" w:styleId="56">
    <w:name w:val="Normal_0_2"/>
    <w:autoRedefine/>
    <w:qFormat/>
    <w:uiPriority w:val="0"/>
    <w:rPr>
      <w:rFonts w:ascii="Times New Roman" w:hAnsi="Times New Roman" w:eastAsia="Times New Roman" w:cs="Times New Roman"/>
      <w:sz w:val="24"/>
      <w:szCs w:val="24"/>
      <w:lang w:val="en-US" w:eastAsia="zh-CN" w:bidi="ar-SA"/>
    </w:rPr>
  </w:style>
  <w:style w:type="character" w:customStyle="1" w:styleId="57">
    <w:name w:val="font61"/>
    <w:basedOn w:val="29"/>
    <w:autoRedefine/>
    <w:qFormat/>
    <w:uiPriority w:val="0"/>
    <w:rPr>
      <w:rFonts w:ascii="Calibri" w:hAnsi="Calibri" w:cs="Calibri"/>
      <w:color w:val="000000"/>
      <w:sz w:val="22"/>
      <w:szCs w:val="22"/>
      <w:u w:val="none"/>
    </w:rPr>
  </w:style>
  <w:style w:type="character" w:customStyle="1" w:styleId="58">
    <w:name w:val="font81"/>
    <w:basedOn w:val="29"/>
    <w:autoRedefine/>
    <w:qFormat/>
    <w:uiPriority w:val="0"/>
    <w:rPr>
      <w:rFonts w:ascii="Calibri" w:hAnsi="Calibri" w:cs="Calibri"/>
      <w:color w:val="000000"/>
      <w:sz w:val="22"/>
      <w:szCs w:val="22"/>
      <w:u w:val="none"/>
    </w:rPr>
  </w:style>
  <w:style w:type="paragraph" w:styleId="59">
    <w:name w:val="List Paragraph"/>
    <w:basedOn w:val="1"/>
    <w:autoRedefine/>
    <w:qFormat/>
    <w:uiPriority w:val="0"/>
    <w:pPr>
      <w:ind w:firstLine="420" w:firstLineChars="200"/>
    </w:pPr>
  </w:style>
  <w:style w:type="character" w:customStyle="1" w:styleId="60">
    <w:name w:val="批注文字 字符"/>
    <w:basedOn w:val="29"/>
    <w:link w:val="7"/>
    <w:autoRedefine/>
    <w:qFormat/>
    <w:uiPriority w:val="0"/>
    <w:rPr>
      <w:kern w:val="2"/>
      <w:sz w:val="21"/>
      <w:szCs w:val="24"/>
    </w:rPr>
  </w:style>
  <w:style w:type="character" w:customStyle="1" w:styleId="61">
    <w:name w:val="批注主题 字符"/>
    <w:basedOn w:val="60"/>
    <w:link w:val="24"/>
    <w:autoRedefine/>
    <w:qFormat/>
    <w:uiPriority w:val="0"/>
    <w:rPr>
      <w:b/>
      <w:bCs/>
      <w:kern w:val="2"/>
      <w:sz w:val="21"/>
      <w:szCs w:val="24"/>
    </w:rPr>
  </w:style>
  <w:style w:type="paragraph" w:customStyle="1" w:styleId="62">
    <w:name w:val="Table Text"/>
    <w:basedOn w:val="1"/>
    <w:autoRedefine/>
    <w:semiHidden/>
    <w:qFormat/>
    <w:uiPriority w:val="0"/>
    <w:rPr>
      <w:rFonts w:ascii="宋体" w:hAnsi="宋体" w:cs="宋体"/>
      <w:szCs w:val="21"/>
      <w:lang w:eastAsia="en-US"/>
    </w:rPr>
  </w:style>
  <w:style w:type="table" w:customStyle="1" w:styleId="63">
    <w:name w:val="Table Normal"/>
    <w:autoRedefine/>
    <w:semiHidden/>
    <w:unhideWhenUsed/>
    <w:qFormat/>
    <w:uiPriority w:val="0"/>
    <w:tblPr>
      <w:tblCellMar>
        <w:top w:w="0" w:type="dxa"/>
        <w:left w:w="0" w:type="dxa"/>
        <w:bottom w:w="0" w:type="dxa"/>
        <w:right w:w="0" w:type="dxa"/>
      </w:tblCellMar>
    </w:tblPr>
  </w:style>
  <w:style w:type="paragraph" w:customStyle="1" w:styleId="64">
    <w:name w:val="修订1"/>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65">
    <w:name w:val="正文文本 字符"/>
    <w:basedOn w:val="29"/>
    <w:link w:val="8"/>
    <w:autoRedefine/>
    <w:qFormat/>
    <w:uiPriority w:val="0"/>
    <w:rPr>
      <w:rFonts w:ascii="仿宋" w:eastAsia="仿宋"/>
      <w:kern w:val="44"/>
      <w:position w:val="6"/>
      <w:sz w:val="30"/>
    </w:rPr>
  </w:style>
  <w:style w:type="character" w:customStyle="1" w:styleId="66">
    <w:name w:val="页脚 字符"/>
    <w:basedOn w:val="29"/>
    <w:link w:val="13"/>
    <w:autoRedefine/>
    <w:qFormat/>
    <w:uiPriority w:val="99"/>
    <w:rPr>
      <w:kern w:val="2"/>
      <w:sz w:val="18"/>
      <w:szCs w:val="18"/>
    </w:rPr>
  </w:style>
  <w:style w:type="character" w:customStyle="1" w:styleId="67">
    <w:name w:val="无"/>
    <w:autoRedefine/>
    <w:qFormat/>
    <w:uiPriority w:val="0"/>
  </w:style>
  <w:style w:type="paragraph" w:customStyle="1" w:styleId="68">
    <w:name w:val="附录表标题"/>
    <w:basedOn w:val="1"/>
    <w:next w:val="33"/>
    <w:qFormat/>
    <w:uiPriority w:val="0"/>
    <w:pPr>
      <w:numPr>
        <w:ilvl w:val="1"/>
        <w:numId w:val="3"/>
      </w:numPr>
      <w:tabs>
        <w:tab w:val="left" w:pos="180"/>
      </w:tabs>
      <w:spacing w:beforeLines="50" w:afterLines="50"/>
      <w:ind w:left="0" w:firstLine="0"/>
      <w:jc w:val="center"/>
    </w:pPr>
    <w:rPr>
      <w:rFonts w:ascii="黑体" w:eastAsia="黑体"/>
      <w:szCs w:val="21"/>
    </w:rPr>
  </w:style>
  <w:style w:type="character" w:customStyle="1" w:styleId="69">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10509</Words>
  <Characters>11479</Characters>
  <Lines>178</Lines>
  <Paragraphs>50</Paragraphs>
  <TotalTime>40</TotalTime>
  <ScaleCrop>false</ScaleCrop>
  <LinksUpToDate>false</LinksUpToDate>
  <CharactersWithSpaces>11726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2023-09-20T20:27:00Z</dcterms:created>
  <dc:creator>32797</dc:creator>
  <cp:lastModifiedBy>왕지동</cp:lastModifiedBy>
  <cp:lastPrinted>2025-12-23T00:49:00Z</cp:lastPrinted>
  <dcterms:modified xsi:type="dcterms:W3CDTF">2026-08-25T02:25:28Z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C3CEBB7D269E4F8E8631817F5C7CE704_13</vt:lpwstr>
  </property>
  <property fmtid="{D5CDD505-2E9C-101B-9397-08002B2CF9AE}" pid="4" name="KSOTemplateDocerSaveRecord">
    <vt:lpwstr>eyJoZGlkIjoiMjQ4Y2U2ODRjNzQ4NTE1YTA3ZDkwMDU3NTVjYTdiZjciLCJ1c2VySWQiOiI1Mjg0NzU5ODQifQ==</vt:lpwstr>
  </property>
</Properties>
</file>