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D496">
      <w:pPr>
        <w:widowControl/>
        <w:spacing w:line="360" w:lineRule="auto"/>
        <w:jc w:val="center"/>
        <w:rPr>
          <w:rFonts w:ascii="宋体" w:hAnsi="宋体" w:cs="宋体"/>
          <w:b/>
          <w:bCs/>
          <w:color w:val="auto"/>
          <w:spacing w:val="15"/>
          <w:sz w:val="44"/>
          <w:szCs w:val="44"/>
        </w:rPr>
      </w:pPr>
    </w:p>
    <w:p w14:paraId="2FE0E032">
      <w:pPr>
        <w:widowControl/>
        <w:spacing w:line="360" w:lineRule="auto"/>
        <w:jc w:val="center"/>
        <w:rPr>
          <w:rFonts w:ascii="宋体" w:hAnsi="宋体" w:cs="宋体"/>
          <w:b/>
          <w:bCs/>
          <w:color w:val="auto"/>
          <w:spacing w:val="15"/>
          <w:sz w:val="44"/>
          <w:szCs w:val="44"/>
        </w:rPr>
      </w:pPr>
    </w:p>
    <w:p w14:paraId="2438332E">
      <w:pPr>
        <w:pStyle w:val="21"/>
        <w:ind w:left="0" w:leftChars="0" w:firstLine="0" w:firstLineChars="0"/>
        <w:jc w:val="center"/>
        <w:rPr>
          <w:rFonts w:hint="default"/>
          <w:color w:val="auto"/>
          <w:sz w:val="15"/>
          <w:szCs w:val="15"/>
          <w:lang w:val="en-US"/>
        </w:rPr>
      </w:pPr>
      <w:r>
        <w:rPr>
          <w:rFonts w:hint="eastAsia" w:ascii="宋体" w:hAnsi="宋体" w:cs="宋体"/>
          <w:b/>
          <w:color w:val="auto"/>
          <w:sz w:val="28"/>
          <w:szCs w:val="28"/>
          <w:lang w:eastAsia="zh-CN"/>
        </w:rPr>
        <w:t>响水县灌江水务有限责任公司羽清污水厂污泥处置单位采购项目(二次）</w:t>
      </w:r>
    </w:p>
    <w:p w14:paraId="384C2B4D">
      <w:pPr>
        <w:spacing w:line="360" w:lineRule="auto"/>
        <w:jc w:val="center"/>
        <w:rPr>
          <w:rFonts w:hint="eastAsia" w:ascii="宋体" w:hAnsi="宋体" w:cs="宋体"/>
          <w:b/>
          <w:bCs/>
          <w:color w:val="auto"/>
          <w:sz w:val="44"/>
          <w:szCs w:val="44"/>
        </w:rPr>
      </w:pPr>
    </w:p>
    <w:p w14:paraId="1F815427">
      <w:pPr>
        <w:spacing w:line="360" w:lineRule="auto"/>
        <w:jc w:val="center"/>
        <w:rPr>
          <w:rFonts w:hint="eastAsia" w:ascii="宋体" w:hAnsi="宋体" w:cs="宋体"/>
          <w:b/>
          <w:bCs/>
          <w:color w:val="auto"/>
          <w:sz w:val="44"/>
          <w:szCs w:val="44"/>
        </w:rPr>
      </w:pPr>
    </w:p>
    <w:p w14:paraId="13CBD987">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采  购 文 件</w:t>
      </w:r>
    </w:p>
    <w:p w14:paraId="4623BBA8">
      <w:pPr>
        <w:jc w:val="center"/>
        <w:rPr>
          <w:rFonts w:ascii="宋体" w:hAnsi="宋体" w:cs="宋体"/>
          <w:b/>
          <w:color w:val="auto"/>
          <w:sz w:val="30"/>
          <w:szCs w:val="30"/>
        </w:rPr>
      </w:pPr>
    </w:p>
    <w:p w14:paraId="541E743D">
      <w:pPr>
        <w:jc w:val="center"/>
        <w:rPr>
          <w:rFonts w:ascii="宋体" w:hAnsi="宋体" w:cs="宋体"/>
          <w:b/>
          <w:color w:val="auto"/>
          <w:sz w:val="30"/>
          <w:szCs w:val="30"/>
        </w:rPr>
      </w:pPr>
    </w:p>
    <w:p w14:paraId="2E87DE63">
      <w:pPr>
        <w:jc w:val="center"/>
        <w:rPr>
          <w:rFonts w:ascii="宋体" w:hAnsi="宋体" w:cs="宋体"/>
          <w:b/>
          <w:color w:val="auto"/>
          <w:sz w:val="30"/>
          <w:szCs w:val="30"/>
        </w:rPr>
      </w:pPr>
      <w:r>
        <w:rPr>
          <w:rFonts w:hint="eastAsia" w:ascii="宋体" w:hAnsi="宋体" w:cs="宋体"/>
          <w:b/>
          <w:color w:val="auto"/>
          <w:sz w:val="30"/>
          <w:szCs w:val="30"/>
        </w:rPr>
        <w:t>项目编号</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XSX-GQCG-202604016</w:t>
      </w:r>
      <w:r>
        <w:rPr>
          <w:rFonts w:hint="eastAsia" w:ascii="宋体" w:hAnsi="宋体" w:cs="宋体"/>
          <w:b/>
          <w:color w:val="auto"/>
          <w:sz w:val="30"/>
          <w:szCs w:val="30"/>
        </w:rPr>
        <w:t xml:space="preserve">  </w:t>
      </w:r>
    </w:p>
    <w:p w14:paraId="301AE40E">
      <w:pPr>
        <w:spacing w:line="360" w:lineRule="auto"/>
        <w:jc w:val="center"/>
        <w:rPr>
          <w:rFonts w:ascii="宋体" w:hAnsi="宋体" w:cs="宋体"/>
          <w:color w:val="auto"/>
          <w:sz w:val="44"/>
          <w:szCs w:val="44"/>
        </w:rPr>
      </w:pPr>
    </w:p>
    <w:p w14:paraId="7C87E68F">
      <w:pPr>
        <w:spacing w:line="360" w:lineRule="auto"/>
        <w:jc w:val="center"/>
        <w:rPr>
          <w:rFonts w:ascii="宋体" w:hAnsi="宋体" w:cs="宋体"/>
          <w:color w:val="auto"/>
          <w:sz w:val="44"/>
          <w:szCs w:val="44"/>
        </w:rPr>
      </w:pPr>
    </w:p>
    <w:p w14:paraId="061BB750">
      <w:pPr>
        <w:pStyle w:val="27"/>
        <w:ind w:firstLine="440"/>
        <w:rPr>
          <w:rFonts w:ascii="宋体" w:hAnsi="宋体" w:cs="宋体"/>
          <w:color w:val="auto"/>
          <w:sz w:val="44"/>
          <w:szCs w:val="44"/>
        </w:rPr>
      </w:pPr>
    </w:p>
    <w:p w14:paraId="40A1B522">
      <w:pPr>
        <w:pStyle w:val="27"/>
        <w:ind w:firstLine="440"/>
        <w:rPr>
          <w:rFonts w:ascii="宋体" w:hAnsi="宋体" w:cs="宋体"/>
          <w:color w:val="auto"/>
          <w:sz w:val="44"/>
          <w:szCs w:val="44"/>
        </w:rPr>
      </w:pPr>
    </w:p>
    <w:p w14:paraId="5DBAFB99">
      <w:pPr>
        <w:spacing w:line="360" w:lineRule="auto"/>
        <w:rPr>
          <w:rFonts w:ascii="宋体" w:hAnsi="宋体" w:cs="宋体"/>
          <w:b/>
          <w:bCs/>
          <w:color w:val="auto"/>
          <w:sz w:val="32"/>
          <w:szCs w:val="32"/>
        </w:rPr>
      </w:pPr>
    </w:p>
    <w:p w14:paraId="3377BF14">
      <w:pPr>
        <w:pStyle w:val="38"/>
        <w:rPr>
          <w:color w:val="auto"/>
        </w:rPr>
      </w:pPr>
    </w:p>
    <w:p w14:paraId="4B30F428">
      <w:pPr>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采 购 人：</w:t>
      </w:r>
      <w:r>
        <w:rPr>
          <w:rFonts w:hint="eastAsia" w:ascii="宋体" w:hAnsi="宋体" w:cs="宋体"/>
          <w:b/>
          <w:bCs/>
          <w:color w:val="auto"/>
          <w:sz w:val="32"/>
          <w:szCs w:val="32"/>
          <w:u w:val="single"/>
          <w:lang w:eastAsia="zh-CN"/>
        </w:rPr>
        <w:t>响水县灌江水务有限责任公司</w:t>
      </w:r>
      <w:r>
        <w:rPr>
          <w:rFonts w:hint="eastAsia" w:ascii="宋体" w:hAnsi="宋体" w:cs="宋体"/>
          <w:b/>
          <w:bCs/>
          <w:color w:val="auto"/>
          <w:sz w:val="32"/>
          <w:szCs w:val="32"/>
        </w:rPr>
        <w:t>（盖章）</w:t>
      </w:r>
    </w:p>
    <w:p w14:paraId="356BD0D0">
      <w:pPr>
        <w:pStyle w:val="9"/>
        <w:spacing w:line="360" w:lineRule="auto"/>
        <w:jc w:val="center"/>
        <w:rPr>
          <w:rFonts w:ascii="宋体" w:hAnsi="宋体" w:eastAsia="宋体" w:cs="宋体"/>
          <w:b/>
          <w:bCs/>
          <w:color w:val="auto"/>
          <w:sz w:val="32"/>
          <w:szCs w:val="32"/>
        </w:rPr>
      </w:pPr>
    </w:p>
    <w:p w14:paraId="6EA8B04F">
      <w:pPr>
        <w:pStyle w:val="9"/>
        <w:spacing w:line="360" w:lineRule="auto"/>
        <w:ind w:firstLine="643" w:firstLineChars="200"/>
        <w:jc w:val="center"/>
        <w:rPr>
          <w:rFonts w:ascii="宋体" w:hAnsi="宋体" w:eastAsia="宋体" w:cs="宋体"/>
          <w:b/>
          <w:bCs/>
          <w:color w:val="auto"/>
          <w:sz w:val="32"/>
          <w:szCs w:val="32"/>
        </w:rPr>
      </w:pPr>
      <w:r>
        <w:rPr>
          <w:rFonts w:hint="eastAsia" w:ascii="宋体" w:hAnsi="宋体" w:eastAsia="宋体" w:cs="宋体"/>
          <w:b/>
          <w:bCs/>
          <w:color w:val="auto"/>
          <w:sz w:val="32"/>
          <w:szCs w:val="32"/>
        </w:rPr>
        <w:t>代理机构：</w:t>
      </w:r>
      <w:r>
        <w:rPr>
          <w:rFonts w:hint="eastAsia" w:ascii="宋体" w:hAnsi="宋体" w:eastAsia="宋体" w:cs="宋体"/>
          <w:b/>
          <w:bCs/>
          <w:color w:val="auto"/>
          <w:kern w:val="2"/>
          <w:position w:val="0"/>
          <w:sz w:val="32"/>
          <w:szCs w:val="32"/>
          <w:u w:val="single"/>
          <w:lang w:eastAsia="zh-CN"/>
        </w:rPr>
        <w:t>山东中兆设计集团有限公司</w:t>
      </w:r>
      <w:r>
        <w:rPr>
          <w:rFonts w:hint="eastAsia" w:ascii="宋体" w:hAnsi="宋体" w:eastAsia="宋体" w:cs="宋体"/>
          <w:b/>
          <w:bCs/>
          <w:color w:val="auto"/>
          <w:kern w:val="2"/>
          <w:position w:val="0"/>
          <w:sz w:val="32"/>
          <w:szCs w:val="32"/>
        </w:rPr>
        <w:t>（</w:t>
      </w:r>
      <w:r>
        <w:rPr>
          <w:rFonts w:hint="eastAsia" w:ascii="宋体" w:hAnsi="宋体" w:eastAsia="宋体" w:cs="宋体"/>
          <w:b/>
          <w:bCs/>
          <w:color w:val="auto"/>
          <w:sz w:val="32"/>
          <w:szCs w:val="32"/>
        </w:rPr>
        <w:t>盖章</w:t>
      </w:r>
      <w:r>
        <w:rPr>
          <w:rFonts w:hint="eastAsia" w:ascii="宋体" w:hAnsi="宋体" w:eastAsia="宋体" w:cs="宋体"/>
          <w:b/>
          <w:bCs/>
          <w:color w:val="auto"/>
          <w:kern w:val="2"/>
          <w:position w:val="0"/>
          <w:sz w:val="32"/>
          <w:szCs w:val="32"/>
        </w:rPr>
        <w:t>）</w:t>
      </w:r>
    </w:p>
    <w:p w14:paraId="22B668D4">
      <w:pPr>
        <w:tabs>
          <w:tab w:val="left" w:pos="1145"/>
        </w:tabs>
        <w:spacing w:line="360" w:lineRule="auto"/>
        <w:jc w:val="center"/>
        <w:rPr>
          <w:rFonts w:ascii="宋体" w:hAnsi="宋体" w:cs="宋体"/>
          <w:b/>
          <w:bCs/>
          <w:color w:val="auto"/>
          <w:sz w:val="32"/>
          <w:szCs w:val="32"/>
        </w:rPr>
      </w:pPr>
    </w:p>
    <w:p w14:paraId="7B897C4E">
      <w:pPr>
        <w:spacing w:beforeLines="25" w:afterLines="25"/>
        <w:jc w:val="center"/>
        <w:rPr>
          <w:rFonts w:cs="宋体"/>
          <w:b/>
          <w:bCs/>
          <w:color w:val="auto"/>
          <w:sz w:val="32"/>
          <w:szCs w:val="32"/>
        </w:rPr>
      </w:pPr>
      <w:r>
        <w:rPr>
          <w:rFonts w:hint="eastAsia" w:cs="宋体"/>
          <w:b/>
          <w:bCs/>
          <w:color w:val="auto"/>
          <w:sz w:val="32"/>
          <w:szCs w:val="32"/>
        </w:rPr>
        <w:t>日   期：二〇二</w:t>
      </w:r>
      <w:r>
        <w:rPr>
          <w:rFonts w:hint="eastAsia" w:cs="宋体"/>
          <w:b/>
          <w:bCs/>
          <w:color w:val="auto"/>
          <w:sz w:val="32"/>
          <w:szCs w:val="32"/>
          <w:lang w:eastAsia="zh-CN"/>
        </w:rPr>
        <w:t>六</w:t>
      </w:r>
      <w:r>
        <w:rPr>
          <w:rFonts w:hint="eastAsia" w:cs="宋体"/>
          <w:b/>
          <w:bCs/>
          <w:color w:val="auto"/>
          <w:sz w:val="32"/>
          <w:szCs w:val="32"/>
        </w:rPr>
        <w:t>年</w:t>
      </w:r>
      <w:r>
        <w:rPr>
          <w:rFonts w:hint="eastAsia" w:cs="宋体"/>
          <w:b/>
          <w:bCs/>
          <w:color w:val="auto"/>
          <w:sz w:val="32"/>
          <w:szCs w:val="32"/>
          <w:lang w:val="en-US" w:eastAsia="zh-CN"/>
        </w:rPr>
        <w:t>六</w:t>
      </w:r>
      <w:r>
        <w:rPr>
          <w:rFonts w:hint="eastAsia" w:cs="宋体"/>
          <w:b/>
          <w:bCs/>
          <w:color w:val="auto"/>
          <w:sz w:val="32"/>
          <w:szCs w:val="32"/>
        </w:rPr>
        <w:t>月</w:t>
      </w:r>
    </w:p>
    <w:p w14:paraId="4D4BDB12">
      <w:pPr>
        <w:spacing w:beforeLines="25" w:afterLines="25"/>
        <w:jc w:val="center"/>
        <w:rPr>
          <w:rFonts w:cs="宋体"/>
          <w:b/>
          <w:bCs/>
          <w:color w:val="auto"/>
          <w:sz w:val="32"/>
          <w:szCs w:val="32"/>
        </w:rPr>
      </w:pPr>
    </w:p>
    <w:p w14:paraId="044D5C55">
      <w:pPr>
        <w:spacing w:beforeLines="25" w:afterLines="25"/>
        <w:jc w:val="center"/>
        <w:rPr>
          <w:rFonts w:ascii="宋体" w:hAnsi="宋体" w:cs="宋体"/>
          <w:b/>
          <w:color w:val="auto"/>
          <w:sz w:val="40"/>
          <w:szCs w:val="40"/>
        </w:rPr>
        <w:sectPr>
          <w:headerReference r:id="rId3" w:type="default"/>
          <w:pgSz w:w="11906" w:h="16838"/>
          <w:pgMar w:top="1440" w:right="1440" w:bottom="1440" w:left="1440" w:header="851" w:footer="686" w:gutter="0"/>
          <w:pgNumType w:start="1"/>
          <w:cols w:space="0" w:num="1"/>
          <w:docGrid w:type="lines" w:linePitch="317" w:charSpace="0"/>
        </w:sectPr>
      </w:pPr>
      <w:bookmarkStart w:id="0" w:name="_Toc954"/>
      <w:bookmarkStart w:id="1" w:name="_Toc1409"/>
      <w:bookmarkStart w:id="2" w:name="_Toc2681"/>
      <w:bookmarkStart w:id="3" w:name="_Toc26921"/>
      <w:bookmarkStart w:id="4" w:name="_Toc12265"/>
      <w:bookmarkStart w:id="5" w:name="_Toc6639"/>
    </w:p>
    <w:bookmarkEnd w:id="0"/>
    <w:bookmarkEnd w:id="1"/>
    <w:bookmarkEnd w:id="2"/>
    <w:bookmarkEnd w:id="3"/>
    <w:bookmarkEnd w:id="4"/>
    <w:bookmarkEnd w:id="5"/>
    <w:p w14:paraId="0ABEBFC8">
      <w:pPr>
        <w:spacing w:beforeLines="25" w:afterLines="25"/>
        <w:jc w:val="center"/>
        <w:rPr>
          <w:color w:val="auto"/>
          <w:sz w:val="44"/>
          <w:szCs w:val="44"/>
          <w:highlight w:val="none"/>
        </w:rPr>
      </w:pPr>
      <w:bookmarkStart w:id="6" w:name="_Toc32463"/>
      <w:bookmarkStart w:id="7" w:name="_Toc16909"/>
      <w:bookmarkStart w:id="8" w:name="_Toc6302"/>
      <w:bookmarkStart w:id="9" w:name="_Toc17489"/>
      <w:bookmarkStart w:id="10" w:name="_Toc6636"/>
      <w:bookmarkStart w:id="11" w:name="_Toc21806"/>
      <w:r>
        <w:rPr>
          <w:rFonts w:hint="eastAsia" w:ascii="黑体" w:hAnsi="黑体" w:eastAsia="黑体" w:cs="黑体"/>
          <w:color w:val="auto"/>
          <w:sz w:val="44"/>
          <w:szCs w:val="44"/>
          <w:highlight w:val="none"/>
        </w:rPr>
        <w:t>目 录</w:t>
      </w:r>
    </w:p>
    <w:p w14:paraId="1BC4ECCA">
      <w:pPr>
        <w:jc w:val="center"/>
        <w:rPr>
          <w:color w:val="auto"/>
          <w:highlight w:val="none"/>
        </w:rPr>
      </w:pPr>
    </w:p>
    <w:p w14:paraId="1E4FB139">
      <w:pPr>
        <w:pStyle w:val="18"/>
        <w:tabs>
          <w:tab w:val="right" w:leader="dot" w:pos="8312"/>
        </w:tabs>
        <w:spacing w:line="600" w:lineRule="auto"/>
        <w:rPr>
          <w:rFonts w:ascii="宋体" w:hAnsi="宋体" w:cs="宋体"/>
          <w:color w:val="auto"/>
          <w:sz w:val="30"/>
          <w:szCs w:val="30"/>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"_Toc25616" </w:instrText>
      </w:r>
      <w:r>
        <w:rPr>
          <w:color w:val="auto"/>
          <w:highlight w:val="none"/>
        </w:rPr>
        <w:fldChar w:fldCharType="separate"/>
      </w:r>
      <w:r>
        <w:rPr>
          <w:rFonts w:hint="eastAsia" w:ascii="宋体" w:hAnsi="宋体" w:cs="宋体"/>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p>
    <w:p w14:paraId="44B08AD7">
      <w:pPr>
        <w:pStyle w:val="18"/>
        <w:tabs>
          <w:tab w:val="right" w:leader="dot" w:pos="8312"/>
        </w:tabs>
        <w:spacing w:line="600" w:lineRule="auto"/>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"_Toc16732"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_Toc16732 \h </w:instrText>
      </w:r>
      <w:r>
        <w:rPr>
          <w:rFonts w:hint="eastAsia" w:ascii="宋体" w:hAnsi="宋体" w:cs="宋体"/>
          <w:color w:val="auto"/>
          <w:sz w:val="30"/>
          <w:szCs w:val="30"/>
          <w:highlight w:val="none"/>
        </w:rPr>
        <w:fldChar w:fldCharType="separate"/>
      </w:r>
      <w:r>
        <w:rPr>
          <w:rFonts w:hint="eastAsia" w:ascii="宋体" w:hAnsi="宋体" w:eastAsia="宋体" w:cs="宋体"/>
          <w:b/>
          <w:sz w:val="30"/>
          <w:szCs w:val="30"/>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14:paraId="5328E5D0">
      <w:pPr>
        <w:pStyle w:val="18"/>
        <w:tabs>
          <w:tab w:val="right" w:leader="dot" w:pos="8312"/>
        </w:tabs>
        <w:spacing w:line="600" w:lineRule="auto"/>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"_Toc23553" </w:instrText>
      </w:r>
      <w:r>
        <w:rPr>
          <w:color w:val="auto"/>
          <w:highlight w:val="none"/>
        </w:rPr>
        <w:fldChar w:fldCharType="separate"/>
      </w:r>
      <w:r>
        <w:rPr>
          <w:rFonts w:hint="eastAsia" w:ascii="宋体" w:hAnsi="宋体" w:cs="宋体"/>
          <w:color w:val="auto"/>
          <w:sz w:val="30"/>
          <w:szCs w:val="30"/>
          <w:highlight w:val="none"/>
        </w:rPr>
        <w:t>第三章 项目需求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3DBD9214">
      <w:pPr>
        <w:pStyle w:val="18"/>
        <w:tabs>
          <w:tab w:val="right" w:leader="dot" w:pos="8312"/>
        </w:tabs>
        <w:spacing w:line="600" w:lineRule="auto"/>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ascii="宋体" w:hAnsi="宋体" w:cs="宋体"/>
          <w:color w:val="auto"/>
          <w:sz w:val="30"/>
          <w:szCs w:val="30"/>
          <w:highlight w:val="none"/>
        </w:rPr>
        <w:t>第四章  合同主要条款</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42551492">
      <w:pPr>
        <w:pStyle w:val="18"/>
        <w:tabs>
          <w:tab w:val="right" w:leader="dot" w:pos="8312"/>
        </w:tabs>
        <w:spacing w:line="600" w:lineRule="auto"/>
        <w:rPr>
          <w:rFonts w:hint="eastAsia" w:ascii="宋体" w:hAnsi="宋体" w:eastAsia="黑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"_Toc31280" </w:instrText>
      </w:r>
      <w:r>
        <w:rPr>
          <w:color w:val="auto"/>
          <w:highlight w:val="none"/>
        </w:rPr>
        <w:fldChar w:fldCharType="separate"/>
      </w:r>
      <w:r>
        <w:rPr>
          <w:rFonts w:hint="eastAsia" w:ascii="宋体" w:hAnsi="宋体" w:cs="宋体"/>
          <w:color w:val="auto"/>
          <w:sz w:val="30"/>
          <w:szCs w:val="30"/>
          <w:highlight w:val="none"/>
        </w:rPr>
        <w:t>第五章  投标文件格式</w:t>
      </w:r>
      <w:r>
        <w:rPr>
          <w:rFonts w:hint="eastAsia" w:ascii="宋体" w:hAnsi="宋体" w:cs="宋体"/>
          <w:color w:val="auto"/>
          <w:sz w:val="30"/>
          <w:szCs w:val="30"/>
          <w:highlight w:val="none"/>
        </w:rPr>
        <w:tab/>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4</w:t>
      </w:r>
    </w:p>
    <w:p w14:paraId="27D02DB8">
      <w:pPr>
        <w:pStyle w:val="23"/>
        <w:tabs>
          <w:tab w:val="right" w:leader="dot" w:pos="8312"/>
        </w:tabs>
        <w:rPr>
          <w:color w:val="auto"/>
          <w:highlight w:val="none"/>
        </w:rPr>
      </w:pPr>
    </w:p>
    <w:p w14:paraId="7F820F2A">
      <w:pPr>
        <w:spacing w:beforeLines="25" w:afterLines="25"/>
        <w:jc w:val="center"/>
        <w:rPr>
          <w:rFonts w:ascii="宋体" w:hAnsi="宋体"/>
          <w:color w:val="auto"/>
          <w:szCs w:val="28"/>
          <w:highlight w:val="none"/>
        </w:rPr>
      </w:pPr>
      <w:r>
        <w:rPr>
          <w:rFonts w:ascii="宋体" w:hAnsi="宋体"/>
          <w:color w:val="auto"/>
          <w:szCs w:val="28"/>
          <w:highlight w:val="none"/>
        </w:rPr>
        <w:fldChar w:fldCharType="end"/>
      </w:r>
    </w:p>
    <w:p w14:paraId="490D3E79">
      <w:pPr>
        <w:spacing w:beforeLines="25" w:afterLines="25"/>
        <w:jc w:val="center"/>
        <w:rPr>
          <w:rFonts w:ascii="宋体" w:hAnsi="宋体"/>
          <w:color w:val="auto"/>
          <w:szCs w:val="28"/>
          <w:highlight w:val="none"/>
        </w:rPr>
      </w:pPr>
    </w:p>
    <w:p w14:paraId="465293E1">
      <w:pPr>
        <w:spacing w:beforeLines="25" w:afterLines="25"/>
        <w:jc w:val="center"/>
        <w:rPr>
          <w:rFonts w:ascii="宋体" w:hAnsi="宋体"/>
          <w:color w:val="auto"/>
          <w:szCs w:val="28"/>
          <w:highlight w:val="none"/>
        </w:rPr>
      </w:pPr>
    </w:p>
    <w:p w14:paraId="5329E53D">
      <w:pPr>
        <w:spacing w:beforeLines="25" w:afterLines="25"/>
        <w:jc w:val="center"/>
        <w:rPr>
          <w:rFonts w:ascii="宋体" w:hAnsi="宋体"/>
          <w:color w:val="auto"/>
          <w:szCs w:val="28"/>
          <w:highlight w:val="none"/>
        </w:rPr>
      </w:pPr>
    </w:p>
    <w:p w14:paraId="4D931122">
      <w:pPr>
        <w:spacing w:beforeLines="25" w:afterLines="25"/>
        <w:jc w:val="center"/>
        <w:rPr>
          <w:rFonts w:ascii="宋体" w:hAnsi="宋体"/>
          <w:color w:val="auto"/>
          <w:szCs w:val="28"/>
          <w:highlight w:val="none"/>
        </w:rPr>
      </w:pPr>
    </w:p>
    <w:p w14:paraId="2E0728EB">
      <w:pPr>
        <w:spacing w:beforeLines="25" w:afterLines="25"/>
        <w:jc w:val="center"/>
        <w:rPr>
          <w:rFonts w:ascii="宋体" w:hAnsi="宋体"/>
          <w:color w:val="auto"/>
          <w:szCs w:val="28"/>
          <w:highlight w:val="none"/>
        </w:rPr>
      </w:pPr>
    </w:p>
    <w:p w14:paraId="69DB5548">
      <w:pPr>
        <w:spacing w:beforeLines="25" w:afterLines="25"/>
        <w:jc w:val="center"/>
        <w:rPr>
          <w:rFonts w:ascii="宋体" w:hAnsi="宋体"/>
          <w:color w:val="auto"/>
          <w:szCs w:val="28"/>
          <w:highlight w:val="none"/>
        </w:rPr>
      </w:pPr>
    </w:p>
    <w:p w14:paraId="34665597">
      <w:pPr>
        <w:spacing w:beforeLines="25" w:afterLines="25"/>
        <w:jc w:val="center"/>
        <w:rPr>
          <w:rFonts w:ascii="宋体" w:hAnsi="宋体"/>
          <w:color w:val="auto"/>
          <w:szCs w:val="28"/>
          <w:highlight w:val="none"/>
        </w:rPr>
      </w:pPr>
    </w:p>
    <w:p w14:paraId="16A4F0E8">
      <w:pPr>
        <w:spacing w:beforeLines="25" w:afterLines="25"/>
        <w:jc w:val="center"/>
        <w:rPr>
          <w:rFonts w:ascii="宋体" w:hAnsi="宋体"/>
          <w:color w:val="auto"/>
          <w:szCs w:val="28"/>
          <w:highlight w:val="none"/>
        </w:rPr>
      </w:pPr>
    </w:p>
    <w:p w14:paraId="1C92D998">
      <w:pPr>
        <w:spacing w:beforeLines="25" w:afterLines="25"/>
        <w:jc w:val="center"/>
        <w:rPr>
          <w:rFonts w:ascii="宋体" w:hAnsi="宋体"/>
          <w:color w:val="auto"/>
          <w:szCs w:val="28"/>
          <w:highlight w:val="none"/>
        </w:rPr>
      </w:pPr>
    </w:p>
    <w:p w14:paraId="7CB2E526">
      <w:pPr>
        <w:spacing w:beforeLines="25" w:afterLines="25"/>
        <w:jc w:val="center"/>
        <w:rPr>
          <w:rFonts w:ascii="宋体" w:hAnsi="宋体"/>
          <w:color w:val="auto"/>
          <w:szCs w:val="28"/>
          <w:highlight w:val="none"/>
        </w:rPr>
      </w:pPr>
    </w:p>
    <w:p w14:paraId="51209D4A">
      <w:pPr>
        <w:spacing w:beforeLines="25" w:afterLines="25"/>
        <w:jc w:val="center"/>
        <w:rPr>
          <w:rFonts w:ascii="宋体" w:hAnsi="宋体"/>
          <w:color w:val="auto"/>
          <w:szCs w:val="28"/>
          <w:highlight w:val="none"/>
        </w:rPr>
      </w:pPr>
    </w:p>
    <w:p w14:paraId="4DF3E686">
      <w:pPr>
        <w:spacing w:beforeLines="25" w:afterLines="25"/>
        <w:jc w:val="center"/>
        <w:rPr>
          <w:rFonts w:ascii="宋体" w:hAnsi="宋体"/>
          <w:color w:val="auto"/>
          <w:szCs w:val="28"/>
          <w:highlight w:val="none"/>
        </w:rPr>
      </w:pPr>
    </w:p>
    <w:p w14:paraId="0F4D4528">
      <w:pPr>
        <w:spacing w:beforeLines="25" w:afterLines="25"/>
        <w:jc w:val="center"/>
        <w:rPr>
          <w:rFonts w:ascii="宋体" w:hAnsi="宋体"/>
          <w:color w:val="auto"/>
          <w:szCs w:val="28"/>
          <w:highlight w:val="none"/>
        </w:rPr>
      </w:pPr>
    </w:p>
    <w:p w14:paraId="3371A623">
      <w:pPr>
        <w:spacing w:beforeLines="25" w:afterLines="25"/>
        <w:jc w:val="center"/>
        <w:rPr>
          <w:rFonts w:ascii="宋体" w:hAnsi="宋体"/>
          <w:color w:val="auto"/>
          <w:szCs w:val="28"/>
          <w:highlight w:val="none"/>
        </w:rPr>
      </w:pPr>
    </w:p>
    <w:p w14:paraId="171068DC">
      <w:pPr>
        <w:spacing w:beforeLines="25" w:afterLines="25"/>
        <w:jc w:val="center"/>
        <w:rPr>
          <w:rFonts w:ascii="宋体" w:hAnsi="宋体"/>
          <w:color w:val="auto"/>
          <w:szCs w:val="28"/>
          <w:highlight w:val="none"/>
        </w:rPr>
      </w:pPr>
    </w:p>
    <w:p w14:paraId="6709F1FA">
      <w:pPr>
        <w:spacing w:beforeLines="25" w:afterLines="25"/>
        <w:jc w:val="center"/>
        <w:rPr>
          <w:rFonts w:ascii="宋体" w:hAnsi="宋体"/>
          <w:color w:val="auto"/>
          <w:szCs w:val="28"/>
          <w:highlight w:val="none"/>
        </w:rPr>
      </w:pPr>
    </w:p>
    <w:p w14:paraId="33270C16">
      <w:pPr>
        <w:spacing w:beforeLines="25" w:afterLines="25"/>
        <w:jc w:val="center"/>
        <w:rPr>
          <w:rFonts w:ascii="宋体" w:hAnsi="宋体"/>
          <w:color w:val="auto"/>
          <w:szCs w:val="28"/>
          <w:highlight w:val="none"/>
        </w:rPr>
      </w:pPr>
    </w:p>
    <w:p w14:paraId="5F4CB5A7">
      <w:pPr>
        <w:spacing w:beforeLines="25" w:afterLines="25"/>
        <w:jc w:val="center"/>
        <w:rPr>
          <w:rFonts w:ascii="宋体" w:hAnsi="宋体"/>
          <w:color w:val="auto"/>
          <w:szCs w:val="28"/>
          <w:highlight w:val="none"/>
        </w:rPr>
      </w:pPr>
    </w:p>
    <w:p w14:paraId="478B7E21">
      <w:pPr>
        <w:spacing w:beforeLines="25" w:afterLines="25"/>
        <w:jc w:val="center"/>
        <w:rPr>
          <w:rFonts w:hint="eastAsia" w:ascii="宋体" w:hAnsi="宋体" w:cs="宋体"/>
          <w:b/>
          <w:color w:val="auto"/>
          <w:sz w:val="40"/>
          <w:szCs w:val="40"/>
        </w:rPr>
        <w:sectPr>
          <w:footerReference r:id="rId4" w:type="default"/>
          <w:pgSz w:w="11906" w:h="16838"/>
          <w:pgMar w:top="1440" w:right="1440" w:bottom="1440" w:left="1440" w:header="851" w:footer="686" w:gutter="0"/>
          <w:pgNumType w:start="1"/>
          <w:cols w:space="0" w:num="1"/>
          <w:docGrid w:type="lines" w:linePitch="317" w:charSpace="0"/>
        </w:sectPr>
      </w:pPr>
    </w:p>
    <w:p w14:paraId="46738355">
      <w:pPr>
        <w:spacing w:beforeLines="25" w:afterLines="25"/>
        <w:jc w:val="center"/>
        <w:rPr>
          <w:rFonts w:ascii="宋体" w:hAnsi="宋体" w:cs="宋体"/>
          <w:b/>
          <w:color w:val="auto"/>
          <w:sz w:val="44"/>
          <w:szCs w:val="44"/>
        </w:rPr>
      </w:pPr>
      <w:r>
        <w:rPr>
          <w:rFonts w:hint="eastAsia" w:ascii="宋体" w:hAnsi="宋体" w:cs="宋体"/>
          <w:b/>
          <w:color w:val="auto"/>
          <w:sz w:val="40"/>
          <w:szCs w:val="40"/>
        </w:rPr>
        <w:t>第一章  招标公告</w:t>
      </w:r>
    </w:p>
    <w:p w14:paraId="792E9B42">
      <w:pPr>
        <w:widowControl/>
        <w:spacing w:line="5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lang w:eastAsia="zh-CN"/>
        </w:rPr>
        <w:t>响水县灌江水务有限责任公司羽清污水厂污泥处置单位采购项目(二次）</w:t>
      </w:r>
      <w:r>
        <w:rPr>
          <w:rFonts w:hint="eastAsia" w:ascii="宋体" w:hAnsi="宋体" w:cs="宋体"/>
          <w:b/>
          <w:color w:val="auto"/>
          <w:kern w:val="0"/>
          <w:sz w:val="24"/>
          <w:szCs w:val="24"/>
        </w:rPr>
        <w:t>招标公告</w:t>
      </w:r>
    </w:p>
    <w:p w14:paraId="28E3C907">
      <w:pPr>
        <w:widowControl/>
        <w:spacing w:line="500" w:lineRule="exact"/>
        <w:jc w:val="center"/>
        <w:rPr>
          <w:rFonts w:hint="eastAsia" w:ascii="宋体" w:hAnsi="宋体" w:cs="宋体"/>
          <w:b/>
          <w:color w:val="auto"/>
          <w:kern w:val="0"/>
          <w:sz w:val="24"/>
          <w:szCs w:val="24"/>
        </w:rPr>
      </w:pPr>
      <w:r>
        <w:rPr>
          <w:rFonts w:hint="eastAsia" w:ascii="宋体" w:hAnsi="宋体" w:eastAsia="宋体" w:cs="宋体"/>
          <w:i w:val="0"/>
          <w:iCs w:val="0"/>
          <w:caps w:val="0"/>
          <w:color w:val="333333"/>
          <w:spacing w:val="0"/>
          <w:sz w:val="18"/>
          <w:szCs w:val="18"/>
          <w:shd w:val="clear" w:color="auto" w:fill="FFFFFF"/>
        </w:rPr>
        <w:t>（本项目由采购人自行组织实施，响水县公共资源交易中心仅代采购人发布公告，不参加该项目的采购活动）</w:t>
      </w:r>
    </w:p>
    <w:p w14:paraId="5FE4C923">
      <w:pPr>
        <w:pBdr>
          <w:top w:val="single" w:color="auto" w:sz="4" w:space="1"/>
          <w:left w:val="single" w:color="auto" w:sz="4" w:space="4"/>
          <w:bottom w:val="single" w:color="auto" w:sz="4" w:space="1"/>
          <w:right w:val="single" w:color="auto" w:sz="4" w:space="4"/>
        </w:pBdr>
        <w:spacing w:beforeLines="25" w:afterLines="25"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0C347A8A">
      <w:pPr>
        <w:pBdr>
          <w:top w:val="single" w:color="auto" w:sz="4" w:space="1"/>
          <w:left w:val="single" w:color="auto" w:sz="4" w:space="4"/>
          <w:bottom w:val="single" w:color="auto" w:sz="4" w:space="1"/>
          <w:right w:val="single" w:color="auto" w:sz="4" w:space="4"/>
        </w:pBdr>
        <w:spacing w:beforeLines="25" w:afterLines="25" w:line="240" w:lineRule="auto"/>
        <w:ind w:firstLine="630" w:firstLineChars="300"/>
        <w:rPr>
          <w:rFonts w:hint="eastAsia" w:ascii="宋体" w:hAnsi="宋体" w:eastAsia="宋体" w:cs="宋体"/>
          <w:color w:val="auto"/>
          <w:sz w:val="21"/>
          <w:szCs w:val="21"/>
        </w:rPr>
      </w:pPr>
      <w:r>
        <w:rPr>
          <w:rFonts w:hint="eastAsia" w:ascii="宋体" w:hAnsi="宋体" w:cs="宋体"/>
          <w:bCs/>
          <w:color w:val="auto"/>
          <w:kern w:val="0"/>
          <w:sz w:val="21"/>
          <w:szCs w:val="21"/>
          <w:u w:val="single"/>
          <w:lang w:eastAsia="zh-CN"/>
        </w:rPr>
        <w:t>响水县灌江水务有限责任公司羽清污水厂污泥处置单位采购项目(二次）</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u w:val="single"/>
        </w:rPr>
        <w:t>响水县人民政府网（http://www.xiangshui.gov.cn/）</w:t>
      </w:r>
      <w:r>
        <w:rPr>
          <w:rFonts w:hint="eastAsia" w:ascii="宋体" w:hAnsi="宋体" w:eastAsia="宋体" w:cs="宋体"/>
          <w:color w:val="auto"/>
          <w:sz w:val="21"/>
          <w:szCs w:val="21"/>
        </w:rPr>
        <w:t>获取招标文件，并于202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日 </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点00分</w:t>
      </w:r>
      <w:r>
        <w:rPr>
          <w:rFonts w:hint="eastAsia" w:ascii="宋体" w:hAnsi="宋体" w:eastAsia="宋体" w:cs="宋体"/>
          <w:bCs/>
          <w:color w:val="auto"/>
          <w:sz w:val="21"/>
          <w:szCs w:val="21"/>
        </w:rPr>
        <w:t>（北京时间）前递交投标文件</w:t>
      </w:r>
      <w:r>
        <w:rPr>
          <w:rFonts w:hint="eastAsia" w:ascii="宋体" w:hAnsi="宋体" w:eastAsia="宋体" w:cs="宋体"/>
          <w:color w:val="auto"/>
          <w:sz w:val="21"/>
          <w:szCs w:val="21"/>
        </w:rPr>
        <w:t>。</w:t>
      </w:r>
    </w:p>
    <w:p w14:paraId="5DB7D8F7">
      <w:pPr>
        <w:widowControl/>
        <w:adjustRightInd w:val="0"/>
        <w:snapToGrid w:val="0"/>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一、项目基本情况</w:t>
      </w:r>
    </w:p>
    <w:p w14:paraId="6CFD59C9">
      <w:pPr>
        <w:adjustRightInd w:val="0"/>
        <w:snapToGrid w:val="0"/>
        <w:spacing w:line="360" w:lineRule="auto"/>
        <w:ind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项目编号：</w:t>
      </w:r>
      <w:r>
        <w:rPr>
          <w:rFonts w:hint="eastAsia" w:ascii="宋体" w:hAnsi="宋体" w:eastAsia="宋体" w:cs="宋体"/>
          <w:bCs/>
          <w:color w:val="auto"/>
          <w:kern w:val="0"/>
          <w:sz w:val="21"/>
          <w:szCs w:val="21"/>
          <w:lang w:val="en-US" w:eastAsia="zh-CN"/>
        </w:rPr>
        <w:t>XSX-GQCG-20260</w:t>
      </w:r>
      <w:r>
        <w:rPr>
          <w:rFonts w:hint="eastAsia" w:ascii="宋体" w:hAnsi="宋体" w:cs="宋体"/>
          <w:bCs/>
          <w:color w:val="auto"/>
          <w:kern w:val="0"/>
          <w:sz w:val="21"/>
          <w:szCs w:val="21"/>
          <w:lang w:val="en-US" w:eastAsia="zh-CN"/>
        </w:rPr>
        <w:t>4016</w:t>
      </w:r>
      <w:r>
        <w:rPr>
          <w:rFonts w:hint="eastAsia" w:ascii="宋体" w:hAnsi="宋体" w:eastAsia="宋体" w:cs="宋体"/>
          <w:bCs/>
          <w:color w:val="auto"/>
          <w:kern w:val="0"/>
          <w:sz w:val="21"/>
          <w:szCs w:val="21"/>
        </w:rPr>
        <w:t xml:space="preserve">    </w:t>
      </w:r>
    </w:p>
    <w:p w14:paraId="0BFF041A">
      <w:pPr>
        <w:widowControl/>
        <w:adjustRightInd w:val="0"/>
        <w:snapToGrid w:val="0"/>
        <w:spacing w:line="360" w:lineRule="auto"/>
        <w:ind w:firstLine="420" w:firstLineChars="200"/>
        <w:rPr>
          <w:rFonts w:hint="eastAsia" w:ascii="宋体" w:hAnsi="宋体" w:cs="宋体"/>
          <w:bCs/>
          <w:color w:val="auto"/>
          <w:sz w:val="21"/>
          <w:szCs w:val="21"/>
          <w:highlight w:val="none"/>
          <w:lang w:eastAsia="zh-CN"/>
        </w:rPr>
      </w:pPr>
      <w:r>
        <w:rPr>
          <w:rFonts w:hint="eastAsia" w:ascii="宋体" w:hAnsi="宋体" w:eastAsia="宋体" w:cs="宋体"/>
          <w:bCs/>
          <w:color w:val="auto"/>
          <w:sz w:val="21"/>
          <w:szCs w:val="21"/>
        </w:rPr>
        <w:t>项目名称：</w:t>
      </w:r>
      <w:r>
        <w:rPr>
          <w:rFonts w:hint="eastAsia" w:ascii="宋体" w:hAnsi="宋体" w:cs="宋体"/>
          <w:bCs/>
          <w:color w:val="auto"/>
          <w:sz w:val="21"/>
          <w:szCs w:val="21"/>
          <w:highlight w:val="none"/>
          <w:lang w:eastAsia="zh-CN"/>
        </w:rPr>
        <w:t>响水县灌江水务有限责任公司羽清污水厂污泥处置单位采购项目(二次）</w:t>
      </w:r>
    </w:p>
    <w:p w14:paraId="1540CC07">
      <w:pPr>
        <w:widowControl/>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预算金额：</w:t>
      </w:r>
      <w:r>
        <w:rPr>
          <w:rFonts w:hint="eastAsia" w:ascii="宋体" w:hAnsi="宋体" w:eastAsia="宋体" w:cs="宋体"/>
          <w:bCs/>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1200000.00</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eastAsia="zh-CN"/>
        </w:rPr>
        <w:t>。</w:t>
      </w:r>
    </w:p>
    <w:p w14:paraId="7B7C4DE9">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r>
        <w:rPr>
          <w:rFonts w:hint="eastAsia" w:ascii="宋体" w:hAnsi="宋体" w:cs="宋体"/>
          <w:bCs/>
          <w:color w:val="auto"/>
          <w:sz w:val="21"/>
          <w:szCs w:val="21"/>
          <w:highlight w:val="none"/>
          <w:lang w:val="en-US" w:eastAsia="zh-CN"/>
        </w:rPr>
        <w:t>(单价）</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u w:val="single"/>
          <w:lang w:val="en-US" w:eastAsia="zh-CN"/>
        </w:rPr>
        <w:t xml:space="preserve">2000.00 </w:t>
      </w:r>
      <w:r>
        <w:rPr>
          <w:rFonts w:hint="eastAsia" w:ascii="宋体" w:hAnsi="宋体" w:eastAsia="宋体" w:cs="宋体"/>
          <w:bCs/>
          <w:color w:val="auto"/>
          <w:sz w:val="21"/>
          <w:szCs w:val="21"/>
          <w:highlight w:val="none"/>
        </w:rPr>
        <w:t>元/吨（含税</w:t>
      </w:r>
      <w:r>
        <w:rPr>
          <w:rFonts w:hint="eastAsia" w:ascii="宋体" w:hAnsi="宋体" w:cs="宋体"/>
          <w:bCs/>
          <w:color w:val="auto"/>
          <w:sz w:val="21"/>
          <w:szCs w:val="21"/>
          <w:highlight w:val="none"/>
          <w:lang w:eastAsia="zh-CN"/>
        </w:rPr>
        <w:t>运</w:t>
      </w:r>
      <w:r>
        <w:rPr>
          <w:rFonts w:hint="eastAsia" w:ascii="宋体" w:hAnsi="宋体" w:eastAsia="宋体" w:cs="宋体"/>
          <w:bCs/>
          <w:color w:val="auto"/>
          <w:sz w:val="21"/>
          <w:szCs w:val="21"/>
          <w:highlight w:val="none"/>
        </w:rPr>
        <w:t>），单价高于限价无效。</w:t>
      </w:r>
    </w:p>
    <w:p w14:paraId="62622C9D">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w:t>
      </w:r>
      <w:r>
        <w:rPr>
          <w:rFonts w:hint="eastAsia" w:ascii="宋体" w:hAnsi="宋体" w:cs="宋体"/>
          <w:bCs/>
          <w:color w:val="auto"/>
          <w:sz w:val="21"/>
          <w:szCs w:val="21"/>
          <w:highlight w:val="none"/>
          <w:lang w:eastAsia="zh-CN"/>
        </w:rPr>
        <w:t>响水县灌江水务有限责任公司羽清污水厂污泥处置单位采购</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处置危废名称：</w:t>
      </w:r>
      <w:r>
        <w:rPr>
          <w:rFonts w:ascii="Arial" w:hAnsi="Arial" w:eastAsia="宋体" w:cs="Arial"/>
          <w:b w:val="0"/>
          <w:bCs w:val="0"/>
          <w:i w:val="0"/>
          <w:iCs w:val="0"/>
          <w:caps w:val="0"/>
          <w:color w:val="000000"/>
          <w:spacing w:val="0"/>
          <w:sz w:val="21"/>
          <w:szCs w:val="21"/>
          <w:highlight w:val="none"/>
          <w:shd w:val="clear" w:fill="FFFFFF"/>
        </w:rPr>
        <w:t>废水处理污泥、残渣(液)</w:t>
      </w:r>
      <w:r>
        <w:rPr>
          <w:rFonts w:hint="eastAsia" w:ascii="Arial" w:hAnsi="Arial" w:eastAsia="宋体" w:cs="Arial"/>
          <w:b w:val="0"/>
          <w:bCs w:val="0"/>
          <w:i w:val="0"/>
          <w:iCs w:val="0"/>
          <w:caps w:val="0"/>
          <w:color w:val="000000"/>
          <w:spacing w:val="0"/>
          <w:sz w:val="21"/>
          <w:szCs w:val="21"/>
          <w:highlight w:val="none"/>
          <w:shd w:val="clear" w:fill="FFFFFF"/>
          <w:lang w:eastAsia="zh-CN"/>
        </w:rPr>
        <w:t>；</w:t>
      </w:r>
      <w:r>
        <w:rPr>
          <w:rFonts w:hint="eastAsia" w:ascii="宋体" w:hAnsi="宋体" w:cs="宋体"/>
          <w:bCs/>
          <w:color w:val="auto"/>
          <w:sz w:val="21"/>
          <w:szCs w:val="21"/>
          <w:highlight w:val="none"/>
          <w:lang w:eastAsia="zh-CN"/>
        </w:rPr>
        <w:t>危废</w:t>
      </w:r>
      <w:r>
        <w:rPr>
          <w:rFonts w:hint="eastAsia" w:ascii="宋体" w:hAnsi="宋体" w:eastAsia="宋体" w:cs="宋体"/>
          <w:bCs/>
          <w:color w:val="auto"/>
          <w:sz w:val="21"/>
          <w:szCs w:val="21"/>
          <w:highlight w:val="none"/>
        </w:rPr>
        <w:t>代码</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HW49，</w:t>
      </w:r>
      <w:r>
        <w:rPr>
          <w:rFonts w:hint="eastAsia" w:ascii="宋体" w:hAnsi="宋体" w:cs="宋体"/>
          <w:bCs/>
          <w:color w:val="auto"/>
          <w:sz w:val="21"/>
          <w:szCs w:val="21"/>
          <w:highlight w:val="none"/>
          <w:lang w:eastAsia="zh-CN"/>
        </w:rPr>
        <w:t>772-006-49</w:t>
      </w:r>
      <w:r>
        <w:rPr>
          <w:rFonts w:hint="eastAsia" w:ascii="宋体" w:hAnsi="宋体" w:cs="宋体"/>
          <w:bCs/>
          <w:color w:val="auto"/>
          <w:sz w:val="21"/>
          <w:szCs w:val="21"/>
          <w:highlight w:val="none"/>
          <w:lang w:val="en-US" w:eastAsia="zh-CN"/>
        </w:rPr>
        <w:t>)；年处置数量约600吨</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具体内容详见第三章项目需求。</w:t>
      </w:r>
    </w:p>
    <w:p w14:paraId="24F9C3F1">
      <w:pPr>
        <w:widowControl/>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合同履行期限：</w:t>
      </w:r>
      <w:r>
        <w:rPr>
          <w:rFonts w:hint="eastAsia" w:ascii="宋体" w:hAnsi="宋体" w:cs="宋体"/>
          <w:bCs/>
          <w:color w:val="auto"/>
          <w:sz w:val="21"/>
          <w:szCs w:val="21"/>
          <w:highlight w:val="none"/>
          <w:lang w:eastAsia="zh-CN"/>
        </w:rPr>
        <w:t>以合同签订时间起一年（按照采购人要求在规定时间内进场服务）。</w:t>
      </w:r>
    </w:p>
    <w:p w14:paraId="7407D8EE">
      <w:pPr>
        <w:pStyle w:val="28"/>
        <w:ind w:left="0" w:leftChars="0"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处置要求：符合国家现行有关相关法律、法规规定和招标文件的具体要求。</w:t>
      </w:r>
    </w:p>
    <w:p w14:paraId="6ECCCDBF">
      <w:pPr>
        <w:pStyle w:val="28"/>
        <w:ind w:left="0" w:leftChars="0"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处置方式：无害化焚烧及安全填埋。</w:t>
      </w:r>
    </w:p>
    <w:p w14:paraId="7FBE9454">
      <w:pPr>
        <w:pStyle w:val="28"/>
        <w:ind w:left="0" w:leftChars="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color w:val="auto"/>
          <w:sz w:val="21"/>
          <w:szCs w:val="21"/>
          <w:highlight w:val="none"/>
          <w:lang w:val="en-US" w:eastAsia="zh-CN"/>
        </w:rPr>
        <w:t>本项目不接受联合体投标。</w:t>
      </w:r>
    </w:p>
    <w:p w14:paraId="263283DC">
      <w:pPr>
        <w:adjustRightInd w:val="0"/>
        <w:snapToGrid w:val="0"/>
        <w:spacing w:line="360" w:lineRule="auto"/>
        <w:rPr>
          <w:rFonts w:hint="eastAsia" w:ascii="宋体" w:hAnsi="宋体" w:eastAsia="宋体" w:cs="宋体"/>
          <w:b/>
          <w:bCs/>
          <w:color w:val="auto"/>
          <w:sz w:val="21"/>
          <w:szCs w:val="21"/>
          <w:highlight w:val="none"/>
        </w:rPr>
      </w:pPr>
      <w:bookmarkStart w:id="12" w:name="_Toc35393791"/>
      <w:bookmarkStart w:id="13" w:name="_Toc28359080"/>
      <w:bookmarkStart w:id="14" w:name="_Toc28359003"/>
      <w:bookmarkStart w:id="15" w:name="_Toc35393622"/>
      <w:r>
        <w:rPr>
          <w:rFonts w:hint="eastAsia" w:ascii="宋体" w:hAnsi="宋体" w:eastAsia="宋体" w:cs="宋体"/>
          <w:b/>
          <w:bCs/>
          <w:color w:val="auto"/>
          <w:sz w:val="21"/>
          <w:szCs w:val="21"/>
          <w:highlight w:val="none"/>
        </w:rPr>
        <w:t>二、申请人的资格要求</w:t>
      </w:r>
      <w:bookmarkEnd w:id="12"/>
      <w:bookmarkEnd w:id="13"/>
      <w:bookmarkEnd w:id="14"/>
      <w:bookmarkEnd w:id="15"/>
    </w:p>
    <w:p w14:paraId="5DEE8ADD">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16" w:name="_Toc35393623"/>
      <w:bookmarkStart w:id="17" w:name="_Toc35393792"/>
      <w:r>
        <w:rPr>
          <w:rFonts w:hint="eastAsia" w:ascii="宋体" w:hAnsi="宋体" w:eastAsia="宋体" w:cs="宋体"/>
          <w:color w:val="auto"/>
          <w:sz w:val="21"/>
          <w:szCs w:val="21"/>
          <w:highlight w:val="none"/>
        </w:rPr>
        <w:t>1.投标人具有良好的商业信誉和健全的财务会计制度，具有履行合同所必需的设备和专业技术能力，有依法缴纳税收和社会保障资金的良好记录，参加本次采购活动前三年内，在经营活动中没有重大违法记录。投标时提供书面声明。</w:t>
      </w:r>
    </w:p>
    <w:p w14:paraId="16FE599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.本项目的特定资格要求：</w:t>
      </w:r>
    </w:p>
    <w:p w14:paraId="5C5A1D0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（1）投标人须为独立法人企业。投标时，投标文件中提供营业执照原件彩色扫描件。</w:t>
      </w:r>
    </w:p>
    <w:p w14:paraId="4A8C4B4A">
      <w:pPr>
        <w:adjustRightInd w:val="0"/>
        <w:snapToGrid w:val="0"/>
        <w:spacing w:line="360" w:lineRule="auto"/>
        <w:ind w:firstLine="420" w:firstLineChars="200"/>
        <w:rPr>
          <w:rStyle w:val="62"/>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（2）如果授权委托代表参加投标的，必须出具经法定代表人签字或盖章的授权委托书，并须携带本人身份证。法定代表人参加投标的，只需提供身份证明。</w:t>
      </w:r>
    </w:p>
    <w:p w14:paraId="0BDA55E8">
      <w:pPr>
        <w:adjustRightInd w:val="0"/>
        <w:snapToGrid w:val="0"/>
        <w:spacing w:line="360" w:lineRule="auto"/>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投标人未被全国法院失信被执行人名单信息公布与查询平台（http://zxgk.court.gov.cn/shixin/）列入失信被执行人，未被“信用中国”网站（www.creditchina.gov.cn）列入重大税收违法案件当事人名单、政府采购严重失信行为记录名单。</w:t>
      </w:r>
    </w:p>
    <w:p w14:paraId="452068D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（4）单位负责人为同一人或者存在直接控股、管理关系的不同供应商，不得同时参加同一项目的投标。</w:t>
      </w:r>
    </w:p>
    <w:p w14:paraId="01BF1432">
      <w:pPr>
        <w:adjustRightInd w:val="0"/>
        <w:snapToGrid w:val="0"/>
        <w:spacing w:line="360" w:lineRule="auto"/>
        <w:ind w:firstLine="420" w:firstLineChars="200"/>
        <w:rPr>
          <w:rStyle w:val="62"/>
          <w:rFonts w:hint="eastAsia" w:ascii="宋体" w:hAnsi="宋体" w:eastAsia="宋体" w:cs="宋体"/>
          <w:sz w:val="21"/>
          <w:szCs w:val="21"/>
          <w:highlight w:val="none"/>
          <w:lang w:val="zh-TW"/>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Style w:val="62"/>
          <w:rFonts w:hint="eastAsia" w:ascii="宋体" w:hAnsi="宋体" w:eastAsia="宋体" w:cs="宋体"/>
          <w:sz w:val="21"/>
          <w:szCs w:val="21"/>
          <w:highlight w:val="none"/>
          <w:lang w:val="zh-TW" w:eastAsia="zh-CN"/>
        </w:rPr>
        <w:t>投标人</w:t>
      </w:r>
      <w:r>
        <w:rPr>
          <w:rStyle w:val="62"/>
          <w:rFonts w:hint="eastAsia" w:ascii="宋体" w:hAnsi="宋体" w:eastAsia="宋体" w:cs="宋体"/>
          <w:sz w:val="21"/>
          <w:szCs w:val="21"/>
          <w:highlight w:val="none"/>
          <w:lang w:val="zh-TW"/>
        </w:rPr>
        <w:t>须具备主管部门核发的在有效期内《危险废物经营许可证》（</w:t>
      </w:r>
      <w:r>
        <w:rPr>
          <w:rStyle w:val="62"/>
          <w:rFonts w:hint="eastAsia" w:ascii="宋体" w:hAnsi="宋体" w:eastAsia="宋体" w:cs="宋体"/>
          <w:sz w:val="21"/>
          <w:szCs w:val="21"/>
          <w:highlight w:val="none"/>
          <w:lang w:val="zh-TW" w:eastAsia="zh-CN"/>
        </w:rPr>
        <w:t>范围包含：</w:t>
      </w:r>
      <w:r>
        <w:rPr>
          <w:rStyle w:val="62"/>
          <w:rFonts w:hint="eastAsia" w:ascii="宋体" w:hAnsi="宋体" w:eastAsia="宋体" w:cs="宋体"/>
          <w:sz w:val="21"/>
          <w:szCs w:val="21"/>
          <w:highlight w:val="none"/>
          <w:lang w:val="zh-TW"/>
        </w:rPr>
        <w:t>HW</w:t>
      </w:r>
      <w:r>
        <w:rPr>
          <w:rStyle w:val="62"/>
          <w:rFonts w:hint="eastAsia" w:ascii="宋体" w:hAnsi="宋体" w:eastAsia="宋体" w:cs="宋体"/>
          <w:sz w:val="21"/>
          <w:szCs w:val="21"/>
          <w:highlight w:val="none"/>
          <w:lang w:val="en-US" w:eastAsia="zh-CN"/>
        </w:rPr>
        <w:t>49</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772-006-49</w:t>
      </w:r>
      <w:r>
        <w:rPr>
          <w:rStyle w:val="62"/>
          <w:rFonts w:hint="eastAsia" w:ascii="宋体" w:hAnsi="宋体" w:eastAsia="宋体" w:cs="宋体"/>
          <w:sz w:val="21"/>
          <w:szCs w:val="21"/>
          <w:highlight w:val="none"/>
          <w:lang w:val="zh-TW"/>
        </w:rPr>
        <w:t>）。（</w:t>
      </w:r>
      <w:bookmarkStart w:id="18" w:name="_Hlk159246941"/>
      <w:r>
        <w:rPr>
          <w:rStyle w:val="62"/>
          <w:rFonts w:hint="eastAsia" w:ascii="宋体" w:hAnsi="宋体" w:eastAsia="宋体" w:cs="宋体"/>
          <w:sz w:val="21"/>
          <w:szCs w:val="21"/>
          <w:highlight w:val="none"/>
          <w:lang w:val="zh-TW"/>
        </w:rPr>
        <w:t>投标时提供资质证书原件彩色扫描件</w:t>
      </w:r>
      <w:r>
        <w:rPr>
          <w:rStyle w:val="62"/>
          <w:rFonts w:hint="eastAsia" w:ascii="宋体" w:hAnsi="宋体" w:eastAsia="宋体" w:cs="宋体"/>
          <w:sz w:val="21"/>
          <w:szCs w:val="21"/>
          <w:highlight w:val="none"/>
          <w:lang w:val="zh-TW" w:eastAsia="zh-CN"/>
        </w:rPr>
        <w:t>加盖投标人公章</w:t>
      </w:r>
      <w:r>
        <w:rPr>
          <w:rStyle w:val="62"/>
          <w:rFonts w:hint="eastAsia" w:ascii="宋体" w:hAnsi="宋体" w:eastAsia="宋体" w:cs="宋体"/>
          <w:sz w:val="21"/>
          <w:szCs w:val="21"/>
          <w:highlight w:val="none"/>
          <w:lang w:val="zh-TW"/>
        </w:rPr>
        <w:t>）</w:t>
      </w:r>
      <w:bookmarkEnd w:id="18"/>
    </w:p>
    <w:p w14:paraId="60DB35A7">
      <w:pPr>
        <w:bidi w:val="0"/>
        <w:spacing w:line="360" w:lineRule="auto"/>
        <w:ind w:firstLine="420" w:firstLineChars="200"/>
        <w:rPr>
          <w:rFonts w:hint="eastAsia" w:ascii="宋体" w:hAnsi="宋体" w:eastAsia="宋体" w:cs="宋体"/>
          <w:b/>
          <w:bCs/>
          <w:color w:val="auto"/>
          <w:sz w:val="21"/>
          <w:szCs w:val="21"/>
          <w:highlight w:val="none"/>
        </w:rPr>
      </w:pPr>
      <w:r>
        <w:rPr>
          <w:rStyle w:val="62"/>
          <w:rFonts w:hint="eastAsia" w:ascii="宋体" w:hAnsi="宋体" w:eastAsia="宋体" w:cs="宋体"/>
          <w:sz w:val="21"/>
          <w:szCs w:val="21"/>
          <w:highlight w:val="none"/>
          <w:lang w:val="zh-TW" w:eastAsia="zh-CN"/>
        </w:rPr>
        <w:t>（</w:t>
      </w:r>
      <w:r>
        <w:rPr>
          <w:rStyle w:val="62"/>
          <w:rFonts w:hint="eastAsia" w:ascii="宋体" w:hAnsi="宋体" w:eastAsia="宋体" w:cs="宋体"/>
          <w:sz w:val="21"/>
          <w:szCs w:val="21"/>
          <w:highlight w:val="none"/>
          <w:lang w:val="en-US" w:eastAsia="zh-CN"/>
        </w:rPr>
        <w:t>6）</w:t>
      </w:r>
      <w:r>
        <w:rPr>
          <w:rFonts w:hint="eastAsia" w:ascii="宋体" w:hAnsi="宋体" w:eastAsia="宋体" w:cs="宋体"/>
          <w:color w:val="000000" w:themeColor="text1"/>
          <w:sz w:val="21"/>
          <w:szCs w:val="21"/>
          <w:highlight w:val="none"/>
          <w14:textFill>
            <w14:solidFill>
              <w14:schemeClr w14:val="tx1"/>
            </w14:solidFill>
          </w14:textFill>
        </w:rPr>
        <w:t>负责本项目运输的单位须具备有效的《道路危险货物运输许可证》（范围包含危险废物</w:t>
      </w:r>
      <w:r>
        <w:rPr>
          <w:rFonts w:hint="eastAsia" w:ascii="宋体" w:hAnsi="宋体" w:eastAsia="宋体" w:cs="宋体"/>
          <w:color w:val="000000" w:themeColor="text1"/>
          <w:sz w:val="21"/>
          <w:szCs w:val="21"/>
          <w:highlight w:val="none"/>
          <w:lang w:eastAsia="zh-CN"/>
          <w14:textFill>
            <w14:solidFill>
              <w14:schemeClr w14:val="tx1"/>
            </w14:solidFill>
          </w14:textFill>
        </w:rPr>
        <w:t>，提供许可证原件彩色扫描件加盖投标人公章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若投标人委托有资质的运输单位运输的，需提供相应资质</w:t>
      </w:r>
      <w:r>
        <w:rPr>
          <w:rFonts w:hint="eastAsia" w:ascii="宋体" w:hAnsi="宋体" w:eastAsia="宋体" w:cs="宋体"/>
          <w:color w:val="000000" w:themeColor="text1"/>
          <w:sz w:val="21"/>
          <w:szCs w:val="21"/>
          <w:highlight w:val="none"/>
          <w:lang w:eastAsia="zh-CN"/>
          <w14:textFill>
            <w14:solidFill>
              <w14:schemeClr w14:val="tx1"/>
            </w14:solidFill>
          </w14:textFill>
        </w:rPr>
        <w:t>证书</w:t>
      </w:r>
      <w:r>
        <w:rPr>
          <w:rFonts w:hint="eastAsia" w:ascii="宋体" w:hAnsi="宋体" w:eastAsia="宋体" w:cs="宋体"/>
          <w:color w:val="000000" w:themeColor="text1"/>
          <w:sz w:val="21"/>
          <w:szCs w:val="21"/>
          <w:highlight w:val="none"/>
          <w14:textFill>
            <w14:solidFill>
              <w14:schemeClr w14:val="tx1"/>
            </w14:solidFill>
          </w14:textFill>
        </w:rPr>
        <w:t>及运输委托协议原件彩色扫描件加盖投标人公章。</w:t>
      </w:r>
      <w:bookmarkEnd w:id="16"/>
      <w:bookmarkEnd w:id="17"/>
    </w:p>
    <w:p w14:paraId="71349D49">
      <w:pPr>
        <w:adjustRightInd w:val="0"/>
        <w:snapToGrid w:val="0"/>
        <w:spacing w:line="360" w:lineRule="auto"/>
        <w:rPr>
          <w:rFonts w:hint="eastAsia" w:ascii="宋体" w:hAnsi="宋体" w:eastAsia="宋体" w:cs="宋体"/>
          <w:b/>
          <w:bCs/>
          <w:color w:val="auto"/>
          <w:sz w:val="21"/>
          <w:szCs w:val="21"/>
          <w:highlight w:val="none"/>
        </w:rPr>
      </w:pPr>
      <w:bookmarkStart w:id="19" w:name="_Toc28359005"/>
      <w:bookmarkStart w:id="20" w:name="_Toc28359082"/>
      <w:bookmarkStart w:id="21" w:name="_Toc35393793"/>
      <w:bookmarkStart w:id="22" w:name="_Toc35393624"/>
      <w:r>
        <w:rPr>
          <w:rFonts w:hint="eastAsia" w:ascii="宋体" w:hAnsi="宋体" w:eastAsia="宋体" w:cs="宋体"/>
          <w:b/>
          <w:bCs/>
          <w:color w:val="auto"/>
          <w:sz w:val="21"/>
          <w:szCs w:val="21"/>
          <w:highlight w:val="none"/>
        </w:rPr>
        <w:t>三、获取招标文件</w:t>
      </w:r>
    </w:p>
    <w:p w14:paraId="1BCCF272">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 xml:space="preserve"> 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 xml:space="preserve">月 </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w:t>
      </w:r>
    </w:p>
    <w:p w14:paraId="2A69598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地点：响水县人民政府网（http://www.xiangshui.gov.cn/）</w:t>
      </w:r>
    </w:p>
    <w:p w14:paraId="4F8470FA">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符合资格要求的投标人自行登录响水县人民政府网－招投标信息（http://www.xiangshui.gov.cn/col/col18006/index.html)“国企采购－采购公告栏”下载招标文件。</w:t>
      </w:r>
    </w:p>
    <w:p w14:paraId="69E1B819">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w:t>
      </w:r>
      <w:bookmarkEnd w:id="19"/>
      <w:bookmarkEnd w:id="20"/>
      <w:r>
        <w:rPr>
          <w:rFonts w:hint="eastAsia" w:ascii="宋体" w:hAnsi="宋体" w:eastAsia="宋体" w:cs="宋体"/>
          <w:b/>
          <w:bCs/>
          <w:color w:val="auto"/>
          <w:sz w:val="21"/>
          <w:szCs w:val="21"/>
          <w:highlight w:val="none"/>
        </w:rPr>
        <w:t>截止时间、开标时间和地点</w:t>
      </w:r>
      <w:bookmarkEnd w:id="21"/>
      <w:bookmarkEnd w:id="22"/>
    </w:p>
    <w:p w14:paraId="76CE16C5">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提交投标文件截止时间：202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 xml:space="preserve"> 7 </w:t>
      </w:r>
      <w:r>
        <w:rPr>
          <w:rFonts w:hint="eastAsia" w:ascii="宋体" w:hAnsi="宋体" w:eastAsia="宋体" w:cs="宋体"/>
          <w:bCs/>
          <w:color w:val="auto"/>
          <w:sz w:val="21"/>
          <w:szCs w:val="21"/>
          <w:highlight w:val="none"/>
        </w:rPr>
        <w:t xml:space="preserve">月 </w:t>
      </w:r>
      <w:r>
        <w:rPr>
          <w:rFonts w:hint="eastAsia" w:ascii="宋体" w:hAnsi="宋体" w:cs="宋体"/>
          <w:bCs/>
          <w:color w:val="auto"/>
          <w:sz w:val="21"/>
          <w:szCs w:val="21"/>
          <w:highlight w:val="none"/>
          <w:lang w:val="en-US" w:eastAsia="zh-CN"/>
        </w:rPr>
        <w:t xml:space="preserve">14 </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 xml:space="preserve">9 </w:t>
      </w:r>
      <w:r>
        <w:rPr>
          <w:rFonts w:hint="eastAsia" w:ascii="宋体" w:hAnsi="宋体" w:eastAsia="宋体" w:cs="宋体"/>
          <w:bCs/>
          <w:color w:val="auto"/>
          <w:sz w:val="21"/>
          <w:szCs w:val="21"/>
          <w:highlight w:val="none"/>
        </w:rPr>
        <w:t>点00分（北京时间）</w:t>
      </w:r>
    </w:p>
    <w:p w14:paraId="705FFF36">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23" w:name="_Toc35393625"/>
      <w:bookmarkStart w:id="24" w:name="_Toc35393794"/>
      <w:bookmarkStart w:id="25" w:name="_Toc28359084"/>
      <w:bookmarkStart w:id="26" w:name="_Toc28359007"/>
      <w:r>
        <w:rPr>
          <w:rFonts w:hint="eastAsia" w:ascii="宋体" w:hAnsi="宋体" w:eastAsia="宋体" w:cs="宋体"/>
          <w:color w:val="auto"/>
          <w:sz w:val="21"/>
          <w:szCs w:val="21"/>
          <w:highlight w:val="none"/>
        </w:rPr>
        <w:t>开标时间：202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9 </w:t>
      </w:r>
      <w:r>
        <w:rPr>
          <w:rFonts w:hint="eastAsia" w:ascii="宋体" w:hAnsi="宋体" w:eastAsia="宋体" w:cs="宋体"/>
          <w:color w:val="auto"/>
          <w:sz w:val="21"/>
          <w:szCs w:val="21"/>
          <w:highlight w:val="none"/>
        </w:rPr>
        <w:t>点00分（北京时间）</w:t>
      </w:r>
    </w:p>
    <w:p w14:paraId="6412719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投标地点：上传加密的投标文件至采购人指定邮箱：</w:t>
      </w:r>
      <w:r>
        <w:rPr>
          <w:rFonts w:hint="eastAsia" w:ascii="宋体" w:hAnsi="宋体" w:eastAsia="宋体" w:cs="宋体"/>
          <w:b w:val="0"/>
          <w:bCs w:val="0"/>
          <w:color w:val="auto"/>
          <w:kern w:val="0"/>
          <w:sz w:val="21"/>
          <w:szCs w:val="21"/>
          <w:highlight w:val="none"/>
          <w:u w:val="single"/>
          <w:lang w:eastAsia="zh-CN"/>
        </w:rPr>
        <w:t>jszz18051700818@163.com</w:t>
      </w:r>
      <w:r>
        <w:rPr>
          <w:rFonts w:hint="eastAsia" w:ascii="宋体" w:hAnsi="宋体" w:eastAsia="宋体" w:cs="宋体"/>
          <w:color w:val="auto"/>
          <w:sz w:val="21"/>
          <w:szCs w:val="21"/>
          <w:highlight w:val="none"/>
        </w:rPr>
        <w:t>。</w:t>
      </w:r>
    </w:p>
    <w:p w14:paraId="035B60AD">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241" w:name="_GoBack"/>
      <w:r>
        <w:rPr>
          <w:rFonts w:hint="eastAsia" w:ascii="宋体" w:hAnsi="宋体" w:eastAsia="宋体" w:cs="宋体"/>
          <w:color w:val="auto"/>
          <w:sz w:val="21"/>
          <w:szCs w:val="21"/>
          <w:highlight w:val="none"/>
        </w:rPr>
        <w:t>开标地点：网上开标，腾讯会议号：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498 963 784 </w:t>
      </w:r>
      <w:r>
        <w:rPr>
          <w:rFonts w:hint="eastAsia" w:ascii="宋体" w:hAnsi="宋体" w:eastAsia="宋体" w:cs="宋体"/>
          <w:color w:val="auto"/>
          <w:sz w:val="21"/>
          <w:szCs w:val="21"/>
          <w:highlight w:val="none"/>
        </w:rPr>
        <w:t>。</w:t>
      </w:r>
    </w:p>
    <w:bookmarkEnd w:id="241"/>
    <w:p w14:paraId="4CE26E7C">
      <w:pPr>
        <w:pStyle w:val="38"/>
        <w:snapToGrid w:val="0"/>
        <w:spacing w:line="360" w:lineRule="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五、公告期限</w:t>
      </w:r>
      <w:bookmarkEnd w:id="23"/>
      <w:bookmarkEnd w:id="24"/>
      <w:bookmarkEnd w:id="25"/>
      <w:bookmarkEnd w:id="26"/>
    </w:p>
    <w:p w14:paraId="7F1644B5">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207FC4F4">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六、投标保证金及履约保证金</w:t>
      </w:r>
    </w:p>
    <w:p w14:paraId="29FF38C6">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本项目投标保证金</w:t>
      </w:r>
      <w:r>
        <w:rPr>
          <w:rFonts w:hint="eastAsia" w:ascii="宋体" w:hAnsi="宋体" w:eastAsia="宋体" w:cs="宋体"/>
          <w:color w:val="auto"/>
          <w:sz w:val="21"/>
          <w:szCs w:val="21"/>
          <w:highlight w:val="none"/>
          <w:lang w:val="en-US" w:eastAsia="zh-CN"/>
        </w:rPr>
        <w:t>为人民</w:t>
      </w:r>
      <w:r>
        <w:rPr>
          <w:rFonts w:hint="eastAsia" w:ascii="宋体" w:hAnsi="宋体" w:eastAsia="宋体" w:cs="宋体"/>
          <w:color w:val="auto"/>
          <w:sz w:val="21"/>
          <w:szCs w:val="21"/>
          <w:highlight w:val="none"/>
          <w:u w:val="single"/>
          <w:lang w:val="en-US" w:eastAsia="zh-CN"/>
        </w:rPr>
        <w:t>币</w:t>
      </w:r>
      <w:r>
        <w:rPr>
          <w:rFonts w:hint="eastAsia" w:ascii="宋体" w:hAnsi="宋体" w:cs="宋体"/>
          <w:b/>
          <w:bCs/>
          <w:color w:val="auto"/>
          <w:sz w:val="21"/>
          <w:szCs w:val="21"/>
          <w:highlight w:val="none"/>
          <w:u w:val="single"/>
          <w:lang w:val="en-US" w:eastAsia="zh-CN"/>
        </w:rPr>
        <w:t>贰万肆仟</w:t>
      </w:r>
      <w:r>
        <w:rPr>
          <w:rFonts w:hint="eastAsia" w:ascii="宋体" w:hAnsi="宋体" w:eastAsia="宋体" w:cs="宋体"/>
          <w:b/>
          <w:bCs/>
          <w:color w:val="auto"/>
          <w:sz w:val="21"/>
          <w:szCs w:val="21"/>
          <w:highlight w:val="none"/>
          <w:u w:val="single"/>
          <w:lang w:val="en-US" w:eastAsia="zh-CN"/>
        </w:rPr>
        <w:t>元</w:t>
      </w:r>
      <w:r>
        <w:rPr>
          <w:rFonts w:hint="eastAsia" w:ascii="宋体" w:hAnsi="宋体" w:eastAsia="宋体" w:cs="宋体"/>
          <w:color w:val="auto"/>
          <w:sz w:val="21"/>
          <w:szCs w:val="21"/>
          <w:highlight w:val="none"/>
          <w:lang w:val="en-US" w:eastAsia="zh-CN"/>
        </w:rPr>
        <w:t>整</w:t>
      </w:r>
      <w:r>
        <w:rPr>
          <w:rFonts w:hint="eastAsia" w:ascii="宋体" w:hAnsi="宋体" w:eastAsia="宋体" w:cs="宋体"/>
          <w:color w:val="auto"/>
          <w:sz w:val="21"/>
          <w:szCs w:val="21"/>
          <w:highlight w:val="none"/>
          <w:lang w:eastAsia="zh-CN"/>
        </w:rPr>
        <w:t>。</w:t>
      </w:r>
    </w:p>
    <w:p w14:paraId="6A4A3ED2">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投标保证金形式：现金、银行保函、担保机构的保函、保险机构的保单等交易担保方式。</w:t>
      </w:r>
      <w:r>
        <w:rPr>
          <w:rFonts w:hint="eastAsia" w:ascii="宋体" w:hAnsi="宋体" w:eastAsia="宋体" w:cs="宋体"/>
          <w:color w:val="auto"/>
          <w:sz w:val="21"/>
          <w:szCs w:val="21"/>
          <w:highlight w:val="none"/>
          <w:lang w:val="en-US" w:eastAsia="zh-CN"/>
        </w:rPr>
        <w:t>投标人根据本招标文件约定结合企业实际情况合理选择投标保证金的缴纳形式，不同缴纳形式具有同等法律效力。</w:t>
      </w:r>
    </w:p>
    <w:p w14:paraId="01A3EE33">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1.2现金缴纳方式：</w:t>
      </w:r>
      <w:r>
        <w:rPr>
          <w:rFonts w:hint="eastAsia" w:ascii="宋体" w:hAnsi="宋体" w:eastAsia="宋体" w:cs="宋体"/>
          <w:color w:val="auto"/>
          <w:sz w:val="21"/>
          <w:szCs w:val="21"/>
          <w:highlight w:val="none"/>
          <w:lang w:eastAsia="zh-CN"/>
        </w:rPr>
        <w:t>以现金形式递交的，务必请投标人转汇投标保证金时注明本项目名称，</w:t>
      </w:r>
      <w:r>
        <w:rPr>
          <w:rFonts w:hint="eastAsia" w:ascii="宋体" w:hAnsi="宋体" w:eastAsia="宋体" w:cs="宋体"/>
          <w:color w:val="auto"/>
          <w:sz w:val="21"/>
          <w:szCs w:val="21"/>
          <w:highlight w:val="none"/>
          <w:lang w:val="en-US" w:eastAsia="zh-CN"/>
        </w:rPr>
        <w:t>同时将转账截图上传至“投标保证金缴纳证明材料”章节中。否则将一律视为无效，不予接受投标</w:t>
      </w:r>
      <w:r>
        <w:rPr>
          <w:rFonts w:hint="eastAsia" w:ascii="宋体" w:hAnsi="宋体" w:eastAsia="宋体" w:cs="宋体"/>
          <w:color w:val="auto"/>
          <w:sz w:val="21"/>
          <w:szCs w:val="21"/>
          <w:highlight w:val="none"/>
          <w:lang w:eastAsia="zh-CN"/>
        </w:rPr>
        <w:t>。</w:t>
      </w:r>
    </w:p>
    <w:p w14:paraId="76962713">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投标人必须从其基本户转出，并确保在投标文件递交截止时间前到达（以实际到账时间为准），将保证金从投标人本单位的账户上直接转（汇）至采购人指定账户（</w:t>
      </w:r>
      <w:r>
        <w:rPr>
          <w:rFonts w:hint="eastAsia" w:ascii="宋体" w:hAnsi="宋体" w:eastAsia="宋体" w:cs="宋体"/>
          <w:b/>
          <w:bCs/>
          <w:color w:val="auto"/>
          <w:sz w:val="21"/>
          <w:szCs w:val="21"/>
          <w:highlight w:val="none"/>
          <w:lang w:val="en-US" w:eastAsia="zh-CN"/>
        </w:rPr>
        <w:t>单位</w:t>
      </w:r>
      <w:r>
        <w:rPr>
          <w:rFonts w:hint="eastAsia" w:ascii="宋体" w:hAnsi="宋体" w:eastAsia="宋体" w:cs="宋体"/>
          <w:b/>
          <w:bCs/>
          <w:color w:val="auto"/>
          <w:sz w:val="21"/>
          <w:szCs w:val="21"/>
          <w:highlight w:val="none"/>
          <w:lang w:eastAsia="zh-CN"/>
        </w:rPr>
        <w:t>名称：</w:t>
      </w:r>
      <w:r>
        <w:rPr>
          <w:rFonts w:hint="eastAsia" w:ascii="宋体" w:hAnsi="宋体" w:eastAsia="宋体" w:cs="宋体"/>
          <w:b/>
          <w:bCs/>
          <w:color w:val="auto"/>
          <w:sz w:val="21"/>
          <w:szCs w:val="21"/>
          <w:highlight w:val="none"/>
          <w:u w:val="single"/>
          <w:lang w:val="en-US" w:eastAsia="zh-CN"/>
        </w:rPr>
        <w:t>江苏中兆工程咨询有限公司响水分公司</w:t>
      </w:r>
      <w:r>
        <w:rPr>
          <w:rFonts w:hint="eastAsia" w:ascii="宋体" w:hAnsi="宋体" w:eastAsia="宋体" w:cs="宋体"/>
          <w:b/>
          <w:bCs/>
          <w:color w:val="auto"/>
          <w:sz w:val="21"/>
          <w:szCs w:val="21"/>
          <w:highlight w:val="none"/>
          <w:lang w:val="en-US" w:eastAsia="zh-CN"/>
        </w:rPr>
        <w:t xml:space="preserve"> 开户</w:t>
      </w:r>
      <w:r>
        <w:rPr>
          <w:rFonts w:hint="eastAsia" w:ascii="宋体" w:hAnsi="宋体" w:eastAsia="宋体" w:cs="宋体"/>
          <w:b/>
          <w:bCs/>
          <w:color w:val="auto"/>
          <w:sz w:val="21"/>
          <w:szCs w:val="21"/>
          <w:highlight w:val="none"/>
          <w:lang w:eastAsia="zh-CN"/>
        </w:rPr>
        <w:t>银行：</w:t>
      </w:r>
      <w:r>
        <w:rPr>
          <w:rFonts w:hint="eastAsia" w:ascii="宋体" w:hAnsi="宋体" w:eastAsia="宋体" w:cs="宋体"/>
          <w:b/>
          <w:bCs/>
          <w:color w:val="auto"/>
          <w:sz w:val="21"/>
          <w:szCs w:val="21"/>
          <w:highlight w:val="none"/>
          <w:u w:val="single"/>
          <w:lang w:val="en-US" w:eastAsia="zh-CN"/>
        </w:rPr>
        <w:t xml:space="preserve">江苏盐城农村商业银行股份有限公司人民路支行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账号：</w:t>
      </w:r>
      <w:r>
        <w:rPr>
          <w:rFonts w:hint="eastAsia" w:ascii="宋体" w:hAnsi="宋体" w:cs="宋体"/>
          <w:b/>
          <w:bCs/>
          <w:color w:val="auto"/>
          <w:sz w:val="21"/>
          <w:szCs w:val="21"/>
          <w:highlight w:val="none"/>
          <w:lang w:val="en-US" w:eastAsia="zh-CN"/>
        </w:rPr>
        <w:t>吧、</w:t>
      </w:r>
      <w:r>
        <w:rPr>
          <w:rFonts w:hint="eastAsia" w:ascii="宋体" w:hAnsi="宋体" w:eastAsia="宋体" w:cs="宋体"/>
          <w:b/>
          <w:bCs/>
          <w:color w:val="auto"/>
          <w:sz w:val="21"/>
          <w:szCs w:val="21"/>
          <w:highlight w:val="none"/>
          <w:u w:val="single"/>
          <w:lang w:val="en-US" w:eastAsia="zh-CN"/>
        </w:rPr>
        <w:t>3209020361010000016257</w:t>
      </w:r>
      <w:r>
        <w:rPr>
          <w:rFonts w:hint="eastAsia" w:ascii="宋体" w:hAnsi="宋体" w:eastAsia="宋体" w:cs="宋体"/>
          <w:color w:val="auto"/>
          <w:sz w:val="21"/>
          <w:szCs w:val="21"/>
          <w:highlight w:val="none"/>
          <w:lang w:val="en-US" w:eastAsia="zh-CN"/>
        </w:rPr>
        <w:t>）。</w:t>
      </w:r>
    </w:p>
    <w:p w14:paraId="0672354A">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银行保函：投标人必须在投标文件递交截止时间前取得本单位基本账户开户行出具的保函（纸质或者电子件）；需将出具的保函材料、基本户缴费的回执原件彩色扫描件上传至“投标保证金缴纳证明材料”章节中。否则将一律视为无效，不予接受投标。</w:t>
      </w:r>
    </w:p>
    <w:p w14:paraId="4BC69C7F">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采购人接受担保机构的保函、保险机构的保单等非现金交易担保缴纳方式的，费用应从基本账户缴纳，投标人投标时同时需将出具的保函（保单）、基本户缴费的回执原件彩色扫描件上传至标书“投标保证金缴纳证明材料”章节中。否则将一律视为无效，不予接受投标。</w:t>
      </w:r>
    </w:p>
    <w:p w14:paraId="7E105EFF">
      <w:pPr>
        <w:keepNext w:val="0"/>
        <w:keepLines w:val="0"/>
        <w:pageBreakBefore w:val="0"/>
        <w:kinsoku/>
        <w:overflowPunct/>
        <w:topLinePunct w:val="0"/>
        <w:bidi w:val="0"/>
        <w:spacing w:before="79" w:beforeLines="25" w:after="79" w:afterLines="25"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1.5投标人采用银行保函、担保机构的保函、保险机构的保单等非现金交易担保缴纳方式的需将出具的保函（保单）、基本户缴费的回执原件彩色扫描件在开标截止时间前单独发送至</w:t>
      </w:r>
      <w:r>
        <w:rPr>
          <w:rStyle w:val="63"/>
          <w:rFonts w:hint="eastAsia" w:ascii="宋体" w:hAnsi="宋体" w:eastAsia="宋体" w:cs="宋体"/>
          <w:b/>
          <w:bCs/>
          <w:color w:val="auto"/>
          <w:kern w:val="0"/>
          <w:sz w:val="21"/>
          <w:szCs w:val="21"/>
          <w:highlight w:val="none"/>
        </w:rPr>
        <w:t>至采购人指定邮箱：</w:t>
      </w:r>
      <w:r>
        <w:rPr>
          <w:rFonts w:hint="eastAsia" w:ascii="宋体" w:hAnsi="宋体" w:eastAsia="宋体" w:cs="宋体"/>
          <w:b/>
          <w:bCs/>
          <w:color w:val="auto"/>
          <w:kern w:val="0"/>
          <w:sz w:val="21"/>
          <w:szCs w:val="21"/>
          <w:highlight w:val="none"/>
          <w:u w:val="none"/>
          <w:lang w:eastAsia="zh-CN"/>
        </w:rPr>
        <w:t>jszz18051700818@163.com</w:t>
      </w:r>
      <w:r>
        <w:rPr>
          <w:rStyle w:val="63"/>
          <w:rFonts w:hint="eastAsia" w:ascii="宋体" w:hAnsi="宋体" w:eastAsia="宋体" w:cs="宋体"/>
          <w:b/>
          <w:bCs/>
          <w:color w:val="auto"/>
          <w:kern w:val="0"/>
          <w:sz w:val="21"/>
          <w:szCs w:val="21"/>
          <w:highlight w:val="none"/>
          <w:u w:val="none"/>
          <w:lang w:eastAsia="zh-CN"/>
        </w:rPr>
        <w:t>，</w:t>
      </w:r>
      <w:r>
        <w:rPr>
          <w:rStyle w:val="63"/>
          <w:rFonts w:hint="eastAsia" w:ascii="宋体" w:hAnsi="宋体" w:eastAsia="宋体" w:cs="宋体"/>
          <w:b/>
          <w:bCs/>
          <w:color w:val="auto"/>
          <w:kern w:val="0"/>
          <w:sz w:val="21"/>
          <w:szCs w:val="21"/>
          <w:highlight w:val="none"/>
          <w:u w:val="none"/>
          <w:lang w:val="en-US" w:eastAsia="zh-CN"/>
        </w:rPr>
        <w:t>否则不予接受投标。</w:t>
      </w:r>
    </w:p>
    <w:p w14:paraId="08B8BA66">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1.6投标人未按招标文件要求提供投标保证金的，不予接受投标。</w:t>
      </w:r>
    </w:p>
    <w:p w14:paraId="21722763">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2、投标保证金退还</w:t>
      </w:r>
    </w:p>
    <w:p w14:paraId="21FBDAAA">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投标保证金退还时间：以现金形式缴纳的保证金，退还投标保证金至投标人的法人基本存款账户。具体退还时间为：中标结果公告异议期结束后3个工作日内，退还未中标的投标人的投标保证金；合同签订后3个工作日内，经采购人同意，退还中标人的投标保证金。</w:t>
      </w:r>
    </w:p>
    <w:p w14:paraId="4E4E5182">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2.2以电子保函（保单）、银行保函形式缴纳的保证金按相关协议执行，无需办理退款手续。</w:t>
      </w:r>
    </w:p>
    <w:p w14:paraId="2C6D329A">
      <w:pPr>
        <w:keepNext w:val="0"/>
        <w:keepLines w:val="0"/>
        <w:pageBreakBefore w:val="0"/>
        <w:kinsoku/>
        <w:overflowPunct/>
        <w:topLinePunct w:val="0"/>
        <w:bidi w:val="0"/>
        <w:spacing w:before="60" w:beforeLines="25" w:after="60"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有下列情形之一的，投标保证金将不予退还，以保函（保单）形式提供投标保证金的，由被保险人发起理赔申请。以银行保函形式提供投标保证金的，由开立保函的银行根据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通知要求，支付银行保函中规定的数额给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14:paraId="550B1867">
      <w:pPr>
        <w:keepNext w:val="0"/>
        <w:keepLines w:val="0"/>
        <w:pageBreakBefore w:val="0"/>
        <w:kinsoku/>
        <w:overflowPunct/>
        <w:topLinePunct w:val="0"/>
        <w:bidi w:val="0"/>
        <w:spacing w:before="60" w:beforeLines="25" w:after="60"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（1）投标人在规定的投标有效期内撤销或修改其投标文件的；</w:t>
      </w:r>
    </w:p>
    <w:p w14:paraId="133C52A4">
      <w:pPr>
        <w:keepNext w:val="0"/>
        <w:keepLines w:val="0"/>
        <w:pageBreakBefore w:val="0"/>
        <w:kinsoku/>
        <w:overflowPunct/>
        <w:topLinePunct w:val="0"/>
        <w:bidi w:val="0"/>
        <w:spacing w:before="60" w:beforeLines="25" w:after="60"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（2）中标人在收到中标通知书后，无正当理由拒绝签订合同协议书或未按招标文件规定的提交履约担保。</w:t>
      </w:r>
    </w:p>
    <w:p w14:paraId="597E66FE">
      <w:pPr>
        <w:keepNext w:val="0"/>
        <w:keepLines w:val="0"/>
        <w:pageBreakBefore w:val="0"/>
        <w:kinsoku/>
        <w:overflowPunct/>
        <w:topLinePunct w:val="0"/>
        <w:bidi w:val="0"/>
        <w:spacing w:before="60" w:beforeLines="25" w:after="60"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（3）中标人在签订合同时向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提出附加条件；</w:t>
      </w:r>
    </w:p>
    <w:p w14:paraId="2D35909F">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3、履约保证金为</w:t>
      </w:r>
      <w:r>
        <w:rPr>
          <w:rFonts w:hint="eastAsia" w:ascii="宋体" w:hAnsi="宋体" w:eastAsia="宋体" w:cs="宋体"/>
          <w:b/>
          <w:bCs/>
          <w:color w:val="auto"/>
          <w:sz w:val="21"/>
          <w:szCs w:val="21"/>
          <w:highlight w:val="none"/>
          <w:u w:val="single"/>
          <w:lang w:val="en-US" w:eastAsia="zh-CN"/>
        </w:rPr>
        <w:t>中标价的5%</w:t>
      </w:r>
      <w:r>
        <w:rPr>
          <w:rFonts w:hint="eastAsia" w:ascii="宋体" w:hAnsi="宋体" w:eastAsia="宋体" w:cs="宋体"/>
          <w:color w:val="auto"/>
          <w:sz w:val="21"/>
          <w:szCs w:val="21"/>
          <w:highlight w:val="none"/>
        </w:rPr>
        <w:t>。履约保证金缴纳方式：现金、履约担保或者</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基本账户开户行出具的保函、保险公司保险单，具体形式由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自主选择。</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在收到中标通知书后，须在7日内向采购人足额提交履约保证金，否则采购人可以取消其中标资格。</w:t>
      </w:r>
    </w:p>
    <w:p w14:paraId="04BF46A6">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采购人接受</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从基本账户缴纳的现金或银行保函中任何一种形式的履约保证金。具体形式由</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自主选择。</w:t>
      </w:r>
    </w:p>
    <w:p w14:paraId="699B4154">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本项目接受</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提供的从基本账户缴纳的担保机构保函、保险机构保单等交易担保方式。如采用电汇或转账方式缴纳的，须从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本单位的基本账户上直接转(汇)至采购人指定账户</w:t>
      </w:r>
      <w:r>
        <w:rPr>
          <w:rFonts w:hint="eastAsia" w:ascii="宋体" w:hAnsi="宋体" w:eastAsia="宋体" w:cs="宋体"/>
          <w:color w:val="auto"/>
          <w:sz w:val="21"/>
          <w:szCs w:val="21"/>
          <w:highlight w:val="none"/>
          <w:lang w:eastAsia="zh-CN"/>
        </w:rPr>
        <w:t>：</w:t>
      </w:r>
    </w:p>
    <w:p w14:paraId="53DBB129">
      <w:pPr>
        <w:keepNext w:val="0"/>
        <w:keepLines w:val="0"/>
        <w:pageBreakBefore w:val="0"/>
        <w:kinsoku/>
        <w:overflowPunct/>
        <w:topLinePunct w:val="0"/>
        <w:bidi w:val="0"/>
        <w:spacing w:before="79" w:beforeLines="25" w:after="79" w:afterLines="25" w:line="3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单位</w:t>
      </w:r>
      <w:r>
        <w:rPr>
          <w:rFonts w:hint="eastAsia" w:ascii="宋体" w:hAnsi="宋体" w:eastAsia="宋体" w:cs="宋体"/>
          <w:b/>
          <w:bCs/>
          <w:color w:val="auto"/>
          <w:sz w:val="21"/>
          <w:szCs w:val="21"/>
          <w:highlight w:val="none"/>
          <w:lang w:eastAsia="zh-CN"/>
        </w:rPr>
        <w:t>名称：响水县灌江水务有限责任公司</w:t>
      </w:r>
    </w:p>
    <w:p w14:paraId="6EF76162">
      <w:pPr>
        <w:keepNext w:val="0"/>
        <w:keepLines w:val="0"/>
        <w:pageBreakBefore w:val="0"/>
        <w:kinsoku/>
        <w:overflowPunct/>
        <w:topLinePunct w:val="0"/>
        <w:bidi w:val="0"/>
        <w:spacing w:before="79" w:beforeLines="25" w:after="79" w:afterLines="25"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w:t>
      </w:r>
      <w:r>
        <w:rPr>
          <w:rFonts w:hint="eastAsia" w:ascii="宋体" w:hAnsi="宋体" w:eastAsia="宋体" w:cs="宋体"/>
          <w:b/>
          <w:bCs/>
          <w:color w:val="auto"/>
          <w:sz w:val="21"/>
          <w:szCs w:val="21"/>
          <w:highlight w:val="none"/>
          <w:lang w:eastAsia="zh-CN"/>
        </w:rPr>
        <w:t>银行：</w:t>
      </w:r>
      <w:r>
        <w:rPr>
          <w:rFonts w:hint="eastAsia" w:ascii="宋体" w:hAnsi="宋体" w:eastAsia="宋体" w:cs="宋体"/>
          <w:b/>
          <w:bCs/>
          <w:color w:val="auto"/>
          <w:sz w:val="21"/>
          <w:szCs w:val="21"/>
          <w:highlight w:val="none"/>
          <w:lang w:val="en-US" w:eastAsia="zh-CN"/>
        </w:rPr>
        <w:t>中国建设银行响水支行</w:t>
      </w:r>
    </w:p>
    <w:p w14:paraId="6753E8BE">
      <w:pPr>
        <w:keepNext w:val="0"/>
        <w:keepLines w:val="0"/>
        <w:pageBreakBefore w:val="0"/>
        <w:kinsoku/>
        <w:overflowPunct/>
        <w:topLinePunct w:val="0"/>
        <w:bidi w:val="0"/>
        <w:spacing w:before="79" w:beforeLines="25" w:after="79" w:afterLines="25"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账号：</w:t>
      </w:r>
      <w:r>
        <w:rPr>
          <w:rFonts w:hint="eastAsia" w:ascii="宋体" w:hAnsi="宋体" w:eastAsia="宋体" w:cs="宋体"/>
          <w:b/>
          <w:bCs/>
          <w:color w:val="auto"/>
          <w:sz w:val="21"/>
          <w:szCs w:val="21"/>
          <w:highlight w:val="none"/>
          <w:lang w:val="en-US" w:eastAsia="zh-CN"/>
        </w:rPr>
        <w:t>32001737136052521207</w:t>
      </w:r>
    </w:p>
    <w:p w14:paraId="0717D781">
      <w:pPr>
        <w:keepNext w:val="0"/>
        <w:keepLines w:val="0"/>
        <w:pageBreakBefore w:val="0"/>
        <w:kinsoku/>
        <w:overflowPunct/>
        <w:topLinePunct w:val="0"/>
        <w:bidi w:val="0"/>
        <w:spacing w:before="79" w:beforeLines="25" w:after="79" w:afterLines="25"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履约保证金在合同履约完毕后一次性退还（无息）。如果未能按合同、招标投标文件履约的，中止合同，履约保证金不予退还。</w:t>
      </w:r>
    </w:p>
    <w:p w14:paraId="476F4311">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20E2B723">
      <w:pPr>
        <w:widowControl/>
        <w:tabs>
          <w:tab w:val="left" w:pos="90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1.评标办法：</w:t>
      </w:r>
      <w:r>
        <w:rPr>
          <w:rFonts w:hint="eastAsia" w:ascii="宋体" w:hAnsi="宋体" w:eastAsia="宋体" w:cs="宋体"/>
          <w:color w:val="auto"/>
          <w:sz w:val="21"/>
          <w:szCs w:val="21"/>
          <w:highlight w:val="none"/>
          <w:lang w:eastAsia="zh-CN"/>
        </w:rPr>
        <w:t>最低评标价法</w:t>
      </w:r>
      <w:r>
        <w:rPr>
          <w:rFonts w:hint="eastAsia" w:ascii="宋体" w:hAnsi="宋体" w:eastAsia="宋体" w:cs="宋体"/>
          <w:color w:val="auto"/>
          <w:sz w:val="21"/>
          <w:szCs w:val="21"/>
          <w:highlight w:val="none"/>
        </w:rPr>
        <w:t>。</w:t>
      </w:r>
    </w:p>
    <w:p w14:paraId="54578E95">
      <w:pPr>
        <w:keepNext w:val="0"/>
        <w:keepLines w:val="0"/>
        <w:pageBreakBefore w:val="0"/>
        <w:kinsoku/>
        <w:wordWrap/>
        <w:overflowPunct/>
        <w:topLinePunct w:val="0"/>
        <w:bidi w:val="0"/>
        <w:adjustRightInd w:val="0"/>
        <w:snapToGrid w:val="0"/>
        <w:spacing w:line="360" w:lineRule="auto"/>
        <w:ind w:firstLine="420" w:firstLineChars="200"/>
        <w:textAlignment w:val="auto"/>
        <w:outlineLvl w:val="1"/>
        <w:rPr>
          <w:highlight w:val="none"/>
        </w:rPr>
      </w:pPr>
      <w:r>
        <w:rPr>
          <w:rFonts w:hint="eastAsia" w:ascii="宋体" w:hAnsi="宋体" w:eastAsia="宋体" w:cs="宋体"/>
          <w:color w:val="auto"/>
          <w:sz w:val="21"/>
          <w:szCs w:val="21"/>
          <w:highlight w:val="none"/>
          <w:u w:val="none"/>
        </w:rPr>
        <w:t>2.付款方式：</w:t>
      </w:r>
      <w:r>
        <w:rPr>
          <w:rFonts w:ascii="宋体" w:hAnsi="宋体"/>
          <w:b/>
          <w:bCs/>
          <w:color w:val="auto"/>
          <w:szCs w:val="32"/>
          <w:highlight w:val="none"/>
        </w:rPr>
        <w:t>按照</w:t>
      </w:r>
      <w:r>
        <w:rPr>
          <w:rFonts w:hint="eastAsia" w:ascii="宋体" w:hAnsi="宋体"/>
          <w:b/>
          <w:bCs/>
          <w:color w:val="auto"/>
          <w:szCs w:val="32"/>
          <w:highlight w:val="none"/>
          <w:lang w:val="en-US" w:eastAsia="zh-CN"/>
        </w:rPr>
        <w:t>每月</w:t>
      </w:r>
      <w:r>
        <w:rPr>
          <w:rFonts w:ascii="宋体" w:hAnsi="宋体"/>
          <w:b/>
          <w:bCs/>
          <w:color w:val="auto"/>
          <w:szCs w:val="32"/>
          <w:highlight w:val="none"/>
        </w:rPr>
        <w:t>实际接收的废物数量（以《废物转移联单》中数量为准）</w:t>
      </w:r>
      <w:r>
        <w:rPr>
          <w:rFonts w:hint="eastAsia" w:ascii="宋体" w:hAnsi="宋体"/>
          <w:b/>
          <w:bCs/>
          <w:color w:val="auto"/>
          <w:szCs w:val="32"/>
          <w:highlight w:val="none"/>
          <w:lang w:val="en-US" w:eastAsia="zh-CN"/>
        </w:rPr>
        <w:t>次月</w:t>
      </w:r>
      <w:r>
        <w:rPr>
          <w:rFonts w:ascii="宋体" w:hAnsi="宋体"/>
          <w:b/>
          <w:bCs/>
          <w:color w:val="auto"/>
          <w:szCs w:val="32"/>
          <w:highlight w:val="none"/>
        </w:rPr>
        <w:t>结算处置服务费用，乙方根据实际</w:t>
      </w:r>
      <w:r>
        <w:rPr>
          <w:rFonts w:hint="eastAsia" w:ascii="宋体" w:hAnsi="宋体"/>
          <w:b/>
          <w:bCs/>
          <w:color w:val="auto"/>
          <w:szCs w:val="32"/>
          <w:highlight w:val="none"/>
          <w:lang w:val="en-US" w:eastAsia="zh-CN"/>
        </w:rPr>
        <w:t>接收的</w:t>
      </w:r>
      <w:r>
        <w:rPr>
          <w:rFonts w:ascii="宋体" w:hAnsi="宋体"/>
          <w:b/>
          <w:bCs/>
          <w:color w:val="auto"/>
          <w:szCs w:val="32"/>
          <w:highlight w:val="none"/>
        </w:rPr>
        <w:t>重量开具相关处置费发票。</w:t>
      </w:r>
    </w:p>
    <w:p w14:paraId="03A6DBF2">
      <w:pPr>
        <w:widowControl/>
        <w:tabs>
          <w:tab w:val="left" w:pos="900"/>
        </w:tabs>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合</w:t>
      </w:r>
      <w:r>
        <w:rPr>
          <w:rFonts w:hint="eastAsia" w:ascii="宋体" w:hAnsi="宋体" w:eastAsia="宋体" w:cs="宋体"/>
          <w:color w:val="auto"/>
          <w:sz w:val="21"/>
          <w:szCs w:val="21"/>
          <w:highlight w:val="none"/>
        </w:rPr>
        <w:t>同签订:本次招标的招标人为响水县</w:t>
      </w:r>
      <w:r>
        <w:rPr>
          <w:rFonts w:hint="eastAsia" w:ascii="宋体" w:hAnsi="宋体" w:cs="宋体"/>
          <w:color w:val="auto"/>
          <w:sz w:val="21"/>
          <w:szCs w:val="21"/>
          <w:highlight w:val="none"/>
          <w:lang w:val="en-US" w:eastAsia="zh-CN"/>
        </w:rPr>
        <w:t>灌</w:t>
      </w:r>
      <w:r>
        <w:rPr>
          <w:rFonts w:hint="eastAsia" w:ascii="宋体" w:hAnsi="宋体" w:eastAsia="宋体" w:cs="宋体"/>
          <w:color w:val="auto"/>
          <w:sz w:val="21"/>
          <w:szCs w:val="21"/>
          <w:highlight w:val="none"/>
        </w:rPr>
        <w:t>江水务有限责任公司，由招标人或招标人指定的单位(</w:t>
      </w:r>
      <w:r>
        <w:rPr>
          <w:rFonts w:hint="eastAsia" w:ascii="宋体" w:hAnsi="宋体" w:eastAsia="宋体" w:cs="宋体"/>
          <w:color w:val="auto"/>
          <w:sz w:val="21"/>
          <w:szCs w:val="21"/>
          <w:highlight w:val="none"/>
          <w:lang w:eastAsia="zh-CN"/>
        </w:rPr>
        <w:t>响水县城市水处理有限公司</w:t>
      </w:r>
      <w:r>
        <w:rPr>
          <w:rFonts w:hint="eastAsia" w:ascii="宋体" w:hAnsi="宋体" w:eastAsia="宋体" w:cs="宋体"/>
          <w:color w:val="auto"/>
          <w:sz w:val="21"/>
          <w:szCs w:val="21"/>
          <w:highlight w:val="none"/>
        </w:rPr>
        <w:t>)，结合本项目具体情况，</w:t>
      </w:r>
      <w:r>
        <w:rPr>
          <w:rFonts w:hint="eastAsia" w:ascii="宋体" w:hAnsi="宋体" w:eastAsia="宋体" w:cs="宋体"/>
          <w:color w:val="auto"/>
          <w:sz w:val="21"/>
          <w:szCs w:val="21"/>
          <w:highlight w:val="none"/>
          <w:lang w:eastAsia="zh-CN"/>
        </w:rPr>
        <w:t>响水县城市水处理有限公司</w:t>
      </w:r>
      <w:r>
        <w:rPr>
          <w:rFonts w:hint="eastAsia" w:ascii="宋体" w:hAnsi="宋体" w:eastAsia="宋体" w:cs="宋体"/>
          <w:color w:val="auto"/>
          <w:sz w:val="21"/>
          <w:szCs w:val="21"/>
          <w:highlight w:val="none"/>
        </w:rPr>
        <w:t>作为合同甲方，与中标人签订合同。</w:t>
      </w:r>
    </w:p>
    <w:p w14:paraId="334EC7F7">
      <w:pPr>
        <w:widowControl/>
        <w:tabs>
          <w:tab w:val="left" w:pos="90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根据《国务院办公厅转发国家发展改革委关于深化公共资源交易平台整合共享指导意见的通知》（国办函〔2019〕41号）、国家发改委发布《关于积极应对疫情创新做好招投标工作保障经济平稳运行的通知》等文件精神，全面逐步推行不见面投标开标等招投标活动。本项目开标方式为不见面开标，开标当日，投标人无需到达开标现场，仅需在任意地点通过PC端或移动端的“腾讯会议”及相应的配套硬件设备参加开标会议。如因视频设备问题造成无法核实身份的，作无效标处理，参加开标会议的方法详见招标文件。</w:t>
      </w:r>
    </w:p>
    <w:p w14:paraId="733B9792">
      <w:pPr>
        <w:widowControl/>
        <w:tabs>
          <w:tab w:val="left" w:pos="90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.各投标人在投标截止时间前应当每天都在响水县人民政府网上查询，以便获取更新的澄清、修改、补充内容。凡涉及到该项目的补充说明和修改，均以响水人民政府网上的更正或补充通知为准。</w:t>
      </w:r>
    </w:p>
    <w:p w14:paraId="01C4D612">
      <w:pPr>
        <w:widowControl/>
        <w:tabs>
          <w:tab w:val="left" w:pos="90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.本项目为不见面交易项目，投标人通过“腾讯视频会议”直播APP加入会议。</w:t>
      </w:r>
    </w:p>
    <w:p w14:paraId="31C587CF">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八、对本次招标提出询问，请按以下方式联系。</w:t>
      </w:r>
    </w:p>
    <w:p w14:paraId="3F8544BF">
      <w:pPr>
        <w:keepNext w:val="0"/>
        <w:keepLines w:val="0"/>
        <w:pageBreakBefore w:val="0"/>
        <w:widowControl/>
        <w:tabs>
          <w:tab w:val="left" w:pos="900"/>
        </w:tabs>
        <w:kinsoku/>
        <w:wordWrap/>
        <w:overflowPunct/>
        <w:topLinePunct w:val="0"/>
        <w:autoSpaceDE/>
        <w:autoSpaceDN/>
        <w:bidi w:val="0"/>
        <w:adjustRightInd/>
        <w:snapToGrid/>
        <w:spacing w:before="82" w:beforeLines="25" w:after="82" w:afterLines="25"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1.采购人信息</w:t>
      </w:r>
    </w:p>
    <w:p w14:paraId="2D11FDC6">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名    称：响水县灌江水务有限责任公司</w:t>
      </w:r>
    </w:p>
    <w:p w14:paraId="61463DC7">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址：盐城市响水县响水镇黄河路5-12号</w:t>
      </w:r>
    </w:p>
    <w:p w14:paraId="39668AD3">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 系 人：顾女士     联系电话：18762505322</w:t>
      </w:r>
    </w:p>
    <w:p w14:paraId="38B601C4">
      <w:pPr>
        <w:keepNext w:val="0"/>
        <w:keepLines w:val="0"/>
        <w:pageBreakBefore w:val="0"/>
        <w:widowControl/>
        <w:kinsoku/>
        <w:wordWrap/>
        <w:overflowPunct/>
        <w:topLinePunct w:val="0"/>
        <w:autoSpaceDE/>
        <w:autoSpaceDN/>
        <w:bidi w:val="0"/>
        <w:adjustRightInd/>
        <w:snapToGrid/>
        <w:spacing w:before="79" w:beforeLines="25" w:after="79" w:afterLines="25" w:line="360" w:lineRule="exact"/>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2.采购代理机构信息</w:t>
      </w:r>
    </w:p>
    <w:p w14:paraId="2E12B6A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山东中兆设计集团有限公司</w:t>
      </w:r>
    </w:p>
    <w:p w14:paraId="112F605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t>响水县县城江苏银行北侧二单元201室</w:t>
      </w:r>
      <w:r>
        <w:rPr>
          <w:rFonts w:hint="eastAsia" w:ascii="宋体" w:hAnsi="宋体" w:eastAsia="宋体" w:cs="宋体"/>
          <w:color w:val="auto"/>
          <w:sz w:val="21"/>
          <w:szCs w:val="21"/>
          <w:highlight w:val="none"/>
          <w:u w:val="none"/>
        </w:rPr>
        <w:t xml:space="preserve"> </w:t>
      </w:r>
    </w:p>
    <w:p w14:paraId="250EC971">
      <w:pPr>
        <w:keepNext w:val="0"/>
        <w:keepLines w:val="0"/>
        <w:pageBreakBefore w:val="0"/>
        <w:widowControl/>
        <w:kinsoku/>
        <w:wordWrap/>
        <w:overflowPunct/>
        <w:topLinePunct w:val="0"/>
        <w:autoSpaceDE/>
        <w:autoSpaceDN/>
        <w:bidi w:val="0"/>
        <w:adjustRightInd/>
        <w:snapToGrid/>
        <w:spacing w:before="79" w:beforeLines="25" w:after="79" w:afterLines="25"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徐工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Style w:val="62"/>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18051700818 </w:t>
      </w:r>
    </w:p>
    <w:p w14:paraId="431ECA66">
      <w:pPr>
        <w:keepNext w:val="0"/>
        <w:keepLines w:val="0"/>
        <w:pageBreakBefore w:val="0"/>
        <w:widowControl/>
        <w:kinsoku/>
        <w:wordWrap/>
        <w:overflowPunct/>
        <w:topLinePunct w:val="0"/>
        <w:autoSpaceDE/>
        <w:autoSpaceDN/>
        <w:bidi w:val="0"/>
        <w:adjustRightInd/>
        <w:snapToGrid/>
        <w:spacing w:before="79" w:beforeLines="25" w:after="79" w:afterLines="25" w:line="360" w:lineRule="exact"/>
        <w:ind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3.项目联系方式</w:t>
      </w:r>
    </w:p>
    <w:p w14:paraId="4B5AA696">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 系 人：顾女士     联系电话：18762505322</w:t>
      </w:r>
    </w:p>
    <w:p w14:paraId="36D5460A">
      <w:pPr>
        <w:spacing w:line="420" w:lineRule="exac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shd w:val="clear" w:color="auto" w:fill="FFFFFF"/>
        </w:rPr>
        <w:t>九、质疑和投诉处理</w:t>
      </w:r>
    </w:p>
    <w:p w14:paraId="53EB64AE">
      <w:pPr>
        <w:widowControl/>
        <w:tabs>
          <w:tab w:val="left" w:pos="900"/>
        </w:tabs>
        <w:adjustRightInd w:val="0"/>
        <w:snapToGrid w:val="0"/>
        <w:spacing w:line="360" w:lineRule="auto"/>
        <w:ind w:firstLine="420" w:firstLineChars="200"/>
        <w:rPr>
          <w:highlight w:val="none"/>
        </w:rPr>
      </w:pPr>
      <w:r>
        <w:rPr>
          <w:rFonts w:hint="eastAsia" w:ascii="宋体" w:hAnsi="宋体" w:eastAsia="宋体" w:cs="宋体"/>
          <w:color w:val="auto"/>
          <w:sz w:val="21"/>
          <w:szCs w:val="21"/>
          <w:highlight w:val="none"/>
        </w:rPr>
        <w:t>本项目为国有企业采购货物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14:paraId="6C0F1D1D">
      <w:pPr>
        <w:spacing w:beforeLines="25" w:afterLines="25" w:line="420" w:lineRule="exact"/>
        <w:ind w:firstLine="482" w:firstLineChars="200"/>
        <w:jc w:val="right"/>
        <w:rPr>
          <w:rFonts w:hint="eastAsia" w:eastAsia="宋体"/>
          <w:b/>
          <w:bCs/>
          <w:color w:val="auto"/>
          <w:sz w:val="24"/>
          <w:highlight w:val="none"/>
          <w:lang w:eastAsia="zh-CN"/>
        </w:rPr>
      </w:pPr>
      <w:r>
        <w:rPr>
          <w:rFonts w:hint="eastAsia"/>
          <w:b/>
          <w:bCs/>
          <w:color w:val="auto"/>
          <w:sz w:val="24"/>
          <w:highlight w:val="none"/>
          <w:lang w:eastAsia="zh-CN"/>
        </w:rPr>
        <w:t>响水县灌江水务有限责任公司</w:t>
      </w:r>
    </w:p>
    <w:p w14:paraId="20627DA4">
      <w:pPr>
        <w:spacing w:beforeLines="25" w:afterLines="25" w:line="420" w:lineRule="exact"/>
        <w:ind w:firstLine="482" w:firstLineChars="200"/>
        <w:jc w:val="right"/>
        <w:rPr>
          <w:rFonts w:ascii="宋体" w:hAnsi="宋体" w:cs="宋体"/>
          <w:b/>
          <w:bCs/>
          <w:color w:val="auto"/>
          <w:highlight w:val="none"/>
        </w:rPr>
      </w:pP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 xml:space="preserve"> 6 </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 xml:space="preserve"> 22 </w:t>
      </w:r>
      <w:r>
        <w:rPr>
          <w:rFonts w:hint="eastAsia" w:ascii="宋体" w:hAnsi="宋体" w:cs="宋体"/>
          <w:b/>
          <w:bCs/>
          <w:color w:val="auto"/>
          <w:sz w:val="24"/>
          <w:highlight w:val="none"/>
        </w:rPr>
        <w:t>日</w:t>
      </w:r>
    </w:p>
    <w:p w14:paraId="1D338D29">
      <w:pPr>
        <w:spacing w:beforeLines="25" w:afterLines="25"/>
        <w:jc w:val="center"/>
        <w:outlineLvl w:val="0"/>
        <w:rPr>
          <w:rFonts w:ascii="宋体" w:hAnsi="宋体" w:cs="宋体"/>
          <w:b/>
          <w:bCs/>
          <w:color w:val="auto"/>
          <w:sz w:val="44"/>
          <w:szCs w:val="44"/>
          <w:highlight w:val="none"/>
        </w:rPr>
        <w:sectPr>
          <w:footerReference r:id="rId5" w:type="default"/>
          <w:pgSz w:w="11906" w:h="16838"/>
          <w:pgMar w:top="1440" w:right="1440" w:bottom="1440" w:left="1440" w:header="851" w:footer="686" w:gutter="0"/>
          <w:pgNumType w:fmt="decimal" w:start="1"/>
          <w:cols w:space="0" w:num="1"/>
          <w:docGrid w:type="lines" w:linePitch="317" w:charSpace="0"/>
        </w:sectPr>
      </w:pPr>
    </w:p>
    <w:p w14:paraId="43389C45">
      <w:pPr>
        <w:spacing w:beforeLines="25" w:afterLines="25"/>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第二章  投标人须知</w:t>
      </w:r>
      <w:bookmarkEnd w:id="6"/>
      <w:bookmarkEnd w:id="7"/>
      <w:bookmarkEnd w:id="8"/>
      <w:bookmarkEnd w:id="9"/>
      <w:bookmarkEnd w:id="10"/>
      <w:bookmarkEnd w:id="11"/>
    </w:p>
    <w:p w14:paraId="3A7007F2">
      <w:pPr>
        <w:spacing w:beforeLines="25" w:afterLines="25"/>
        <w:jc w:val="center"/>
        <w:outlineLvl w:val="1"/>
        <w:rPr>
          <w:rFonts w:ascii="宋体" w:hAnsi="宋体" w:cs="宋体"/>
          <w:b/>
          <w:bCs/>
          <w:color w:val="auto"/>
          <w:sz w:val="28"/>
          <w:szCs w:val="28"/>
          <w:highlight w:val="none"/>
        </w:rPr>
      </w:pPr>
      <w:bookmarkStart w:id="27" w:name="_Toc30101"/>
      <w:bookmarkStart w:id="28" w:name="_Toc9932"/>
      <w:bookmarkStart w:id="29" w:name="_Toc30742"/>
      <w:bookmarkStart w:id="30" w:name="_Toc6214"/>
      <w:bookmarkStart w:id="31" w:name="_Toc4884"/>
      <w:r>
        <w:rPr>
          <w:rFonts w:hint="eastAsia" w:ascii="宋体" w:hAnsi="宋体" w:cs="宋体"/>
          <w:b/>
          <w:bCs/>
          <w:color w:val="auto"/>
          <w:sz w:val="28"/>
          <w:szCs w:val="28"/>
          <w:highlight w:val="none"/>
        </w:rPr>
        <w:t>一、说</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明</w:t>
      </w:r>
      <w:bookmarkEnd w:id="27"/>
      <w:bookmarkEnd w:id="28"/>
      <w:bookmarkEnd w:id="29"/>
      <w:bookmarkEnd w:id="30"/>
      <w:bookmarkEnd w:id="31"/>
    </w:p>
    <w:p w14:paraId="2E79DAE6">
      <w:pPr>
        <w:adjustRightInd w:val="0"/>
        <w:snapToGrid w:val="0"/>
        <w:spacing w:line="360" w:lineRule="auto"/>
        <w:ind w:firstLine="422" w:firstLineChars="200"/>
        <w:outlineLvl w:val="2"/>
        <w:rPr>
          <w:rFonts w:ascii="宋体" w:hAnsi="宋体" w:cs="宋体"/>
          <w:b/>
          <w:bCs/>
          <w:color w:val="auto"/>
          <w:sz w:val="21"/>
          <w:szCs w:val="21"/>
          <w:highlight w:val="none"/>
        </w:rPr>
      </w:pPr>
      <w:bookmarkStart w:id="32" w:name="_Toc26628"/>
      <w:r>
        <w:rPr>
          <w:rFonts w:hint="eastAsia" w:ascii="宋体" w:hAnsi="宋体" w:cs="宋体"/>
          <w:b/>
          <w:bCs/>
          <w:color w:val="auto"/>
          <w:sz w:val="21"/>
          <w:szCs w:val="21"/>
          <w:highlight w:val="none"/>
        </w:rPr>
        <w:t>1.采购人、采购代理机构及合格的投标人</w:t>
      </w:r>
      <w:bookmarkEnd w:id="32"/>
    </w:p>
    <w:p w14:paraId="244B8078">
      <w:pPr>
        <w:widowControl/>
        <w:shd w:val="clear" w:color="auto" w:fill="FFFFFF"/>
        <w:adjustRightInd w:val="0"/>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1.1  采购人：见“招标公告”。</w:t>
      </w:r>
    </w:p>
    <w:p w14:paraId="4601F416">
      <w:pPr>
        <w:widowControl/>
        <w:shd w:val="clear" w:color="auto" w:fill="FFFFFF"/>
        <w:adjustRightInd w:val="0"/>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1.2  采购代理机构：见“招标公告”。</w:t>
      </w:r>
    </w:p>
    <w:p w14:paraId="7C018212">
      <w:pPr>
        <w:widowControl/>
        <w:shd w:val="clear" w:color="auto" w:fill="FFFFFF"/>
        <w:adjustRightInd w:val="0"/>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1.3  合格的投标人：见“招标公告”。</w:t>
      </w:r>
    </w:p>
    <w:p w14:paraId="22592A3C">
      <w:pPr>
        <w:widowControl/>
        <w:shd w:val="clear" w:color="auto" w:fill="FFFFFF"/>
        <w:adjustRightInd w:val="0"/>
        <w:snapToGrid w:val="0"/>
        <w:spacing w:line="36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1.4  采购人或采购代理机构在任何时候发现投标人提交的投标文件内容有下列情形之一时，取消其投标或中标资格，有权依法追究投标人的责任：</w:t>
      </w:r>
    </w:p>
    <w:p w14:paraId="6FE83A46">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（1）提供虚假的资料。</w:t>
      </w:r>
    </w:p>
    <w:p w14:paraId="7D5EF465">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（2）在实质性方面失实。</w:t>
      </w:r>
    </w:p>
    <w:p w14:paraId="63E66D2C">
      <w:pPr>
        <w:adjustRightInd w:val="0"/>
        <w:snapToGrid w:val="0"/>
        <w:spacing w:line="360" w:lineRule="auto"/>
        <w:ind w:firstLine="422" w:firstLineChars="200"/>
        <w:outlineLvl w:val="2"/>
        <w:rPr>
          <w:rFonts w:ascii="宋体" w:hAnsi="宋体" w:cs="宋体"/>
          <w:b/>
          <w:bCs/>
          <w:color w:val="auto"/>
          <w:sz w:val="21"/>
          <w:szCs w:val="21"/>
          <w:highlight w:val="none"/>
        </w:rPr>
      </w:pPr>
      <w:bookmarkStart w:id="33" w:name="_Toc30626"/>
      <w:r>
        <w:rPr>
          <w:rFonts w:hint="eastAsia" w:ascii="宋体" w:hAnsi="宋体" w:cs="宋体"/>
          <w:b/>
          <w:bCs/>
          <w:color w:val="auto"/>
          <w:sz w:val="21"/>
          <w:szCs w:val="21"/>
          <w:highlight w:val="none"/>
        </w:rPr>
        <w:t>2.资金来源</w:t>
      </w:r>
      <w:bookmarkEnd w:id="33"/>
    </w:p>
    <w:p w14:paraId="49C65804">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资金来源及比例：自筹资金</w:t>
      </w:r>
      <w:r>
        <w:rPr>
          <w:rFonts w:hint="eastAsia" w:ascii="宋体" w:hAnsi="宋体" w:cs="宋体"/>
          <w:color w:val="auto"/>
          <w:sz w:val="21"/>
          <w:szCs w:val="21"/>
          <w:highlight w:val="none"/>
          <w:u w:val="single"/>
        </w:rPr>
        <w:t>100%</w:t>
      </w:r>
      <w:r>
        <w:rPr>
          <w:rFonts w:hint="eastAsia" w:ascii="宋体" w:hAnsi="宋体" w:cs="宋体"/>
          <w:color w:val="auto"/>
          <w:sz w:val="21"/>
          <w:szCs w:val="21"/>
          <w:highlight w:val="none"/>
        </w:rPr>
        <w:t>。</w:t>
      </w:r>
    </w:p>
    <w:p w14:paraId="696FB7D2">
      <w:pPr>
        <w:adjustRightInd w:val="0"/>
        <w:snapToGrid w:val="0"/>
        <w:spacing w:line="360" w:lineRule="auto"/>
        <w:ind w:firstLine="422" w:firstLineChars="200"/>
        <w:outlineLvl w:val="2"/>
        <w:rPr>
          <w:rFonts w:ascii="宋体" w:hAnsi="宋体" w:cs="宋体"/>
          <w:b/>
          <w:bCs/>
          <w:color w:val="auto"/>
          <w:sz w:val="21"/>
          <w:szCs w:val="21"/>
          <w:highlight w:val="none"/>
        </w:rPr>
      </w:pPr>
      <w:bookmarkStart w:id="34" w:name="_Toc4723"/>
      <w:r>
        <w:rPr>
          <w:rFonts w:hint="eastAsia" w:ascii="宋体" w:hAnsi="宋体" w:cs="宋体"/>
          <w:b/>
          <w:bCs/>
          <w:color w:val="auto"/>
          <w:sz w:val="21"/>
          <w:szCs w:val="21"/>
          <w:highlight w:val="none"/>
        </w:rPr>
        <w:t>3.投标费用</w:t>
      </w:r>
      <w:bookmarkEnd w:id="34"/>
    </w:p>
    <w:p w14:paraId="1269CD9D">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投标人应承担所有与准备和参加投标有关的费用，不论投标的结果如何，采购人或采购代理机构均无承担的义务和责任。</w:t>
      </w:r>
    </w:p>
    <w:p w14:paraId="4CB92FD0">
      <w:pPr>
        <w:spacing w:beforeLines="25" w:afterLines="25"/>
        <w:jc w:val="center"/>
        <w:outlineLvl w:val="1"/>
        <w:rPr>
          <w:rFonts w:ascii="宋体" w:hAnsi="宋体" w:cs="宋体"/>
          <w:b/>
          <w:bCs/>
          <w:color w:val="auto"/>
          <w:sz w:val="28"/>
          <w:szCs w:val="28"/>
          <w:highlight w:val="none"/>
        </w:rPr>
      </w:pPr>
      <w:bookmarkStart w:id="35" w:name="_Toc10677"/>
      <w:bookmarkStart w:id="36" w:name="_Toc24266"/>
      <w:bookmarkStart w:id="37" w:name="_Toc29298"/>
      <w:bookmarkStart w:id="38" w:name="_Toc28983"/>
      <w:bookmarkStart w:id="39" w:name="_Toc24195"/>
      <w:r>
        <w:rPr>
          <w:rFonts w:hint="eastAsia" w:ascii="宋体" w:hAnsi="宋体" w:cs="宋体"/>
          <w:b/>
          <w:bCs/>
          <w:color w:val="auto"/>
          <w:sz w:val="28"/>
          <w:szCs w:val="28"/>
          <w:highlight w:val="none"/>
        </w:rPr>
        <w:t>二、招标文件</w:t>
      </w:r>
      <w:bookmarkEnd w:id="35"/>
      <w:bookmarkEnd w:id="36"/>
      <w:bookmarkEnd w:id="37"/>
      <w:bookmarkEnd w:id="38"/>
      <w:bookmarkEnd w:id="39"/>
    </w:p>
    <w:p w14:paraId="472F732F">
      <w:pPr>
        <w:adjustRightInd w:val="0"/>
        <w:snapToGrid w:val="0"/>
        <w:spacing w:line="360" w:lineRule="auto"/>
        <w:ind w:firstLine="422" w:firstLineChars="200"/>
        <w:outlineLvl w:val="2"/>
        <w:rPr>
          <w:rFonts w:ascii="宋体" w:hAnsi="宋体" w:cs="宋体"/>
          <w:b/>
          <w:bCs/>
          <w:color w:val="auto"/>
          <w:sz w:val="21"/>
          <w:szCs w:val="21"/>
          <w:highlight w:val="none"/>
        </w:rPr>
      </w:pPr>
      <w:bookmarkStart w:id="40" w:name="_Toc7875"/>
      <w:r>
        <w:rPr>
          <w:rFonts w:hint="eastAsia" w:ascii="宋体" w:hAnsi="宋体" w:cs="宋体"/>
          <w:b/>
          <w:bCs/>
          <w:color w:val="auto"/>
          <w:sz w:val="21"/>
          <w:szCs w:val="21"/>
          <w:highlight w:val="none"/>
        </w:rPr>
        <w:t>4.招标文件构成</w:t>
      </w:r>
      <w:bookmarkEnd w:id="40"/>
    </w:p>
    <w:p w14:paraId="7AE4EF19">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  要求提供货物的内容及详细技术需求、投标须知和合同条件等在招标文件中均有说明。</w:t>
      </w:r>
    </w:p>
    <w:p w14:paraId="5E8FDAC4">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招标文件内容如下：</w:t>
      </w:r>
    </w:p>
    <w:p w14:paraId="5C43F78A">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第一章  招标公告</w:t>
      </w:r>
    </w:p>
    <w:p w14:paraId="13DC68B8">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第二章  投标人须知</w:t>
      </w:r>
    </w:p>
    <w:p w14:paraId="255270EC">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项目需求</w:t>
      </w:r>
    </w:p>
    <w:p w14:paraId="39EFBD7C">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第四章  合同主要条款</w:t>
      </w:r>
    </w:p>
    <w:p w14:paraId="2D5227D0">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第五章  投标文件格式</w:t>
      </w:r>
    </w:p>
    <w:p w14:paraId="1D404FB8">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2AADA6C6">
      <w:pPr>
        <w:adjustRightInd w:val="0"/>
        <w:snapToGrid w:val="0"/>
        <w:spacing w:line="360" w:lineRule="auto"/>
        <w:ind w:firstLine="422" w:firstLineChars="200"/>
        <w:outlineLvl w:val="2"/>
        <w:rPr>
          <w:rFonts w:ascii="宋体" w:hAnsi="宋体" w:cs="宋体"/>
          <w:b/>
          <w:bCs/>
          <w:color w:val="auto"/>
          <w:sz w:val="21"/>
          <w:szCs w:val="21"/>
          <w:highlight w:val="none"/>
        </w:rPr>
      </w:pPr>
      <w:bookmarkStart w:id="41" w:name="_Toc31050"/>
      <w:r>
        <w:rPr>
          <w:rFonts w:hint="eastAsia" w:ascii="宋体" w:hAnsi="宋体" w:cs="宋体"/>
          <w:b/>
          <w:bCs/>
          <w:color w:val="auto"/>
          <w:sz w:val="21"/>
          <w:szCs w:val="21"/>
          <w:highlight w:val="none"/>
        </w:rPr>
        <w:t>5.招标文件的澄清和异议</w:t>
      </w:r>
      <w:bookmarkEnd w:id="41"/>
    </w:p>
    <w:p w14:paraId="7729589A">
      <w:pPr>
        <w:pStyle w:val="24"/>
        <w:wordWrap w:val="0"/>
        <w:adjustRightInd w:val="0"/>
        <w:snapToGrid w:val="0"/>
        <w:spacing w:before="0" w:beforeAutospacing="0" w:after="0" w:afterAutospacing="0" w:line="360" w:lineRule="auto"/>
        <w:ind w:firstLine="420" w:firstLineChars="200"/>
        <w:jc w:val="both"/>
        <w:rPr>
          <w:color w:val="auto"/>
          <w:sz w:val="21"/>
          <w:szCs w:val="21"/>
          <w:highlight w:val="none"/>
        </w:rPr>
      </w:pPr>
      <w:bookmarkStart w:id="42" w:name="_Toc462564071"/>
      <w:bookmarkStart w:id="43" w:name="_Toc20823284"/>
      <w:bookmarkStart w:id="44" w:name="_Toc16938528"/>
      <w:bookmarkStart w:id="45" w:name="_Toc513029212"/>
      <w:r>
        <w:rPr>
          <w:rFonts w:hint="eastAsia"/>
          <w:color w:val="auto"/>
          <w:sz w:val="21"/>
          <w:szCs w:val="21"/>
          <w:highlight w:val="none"/>
        </w:rPr>
        <w:t>5.1  任何要求对招标文件进行澄清或对招标文件有异议的投标人，均须在法定时间内（以公告截止时间起算）以书面形式送达采购人或采购代理机构（联系方式见“招标公告”）。逾期递交对招标文件要求进行澄清或对招标文件有异议的将不予受理。</w:t>
      </w:r>
    </w:p>
    <w:p w14:paraId="76CBC322">
      <w:pPr>
        <w:pStyle w:val="24"/>
        <w:wordWrap w:val="0"/>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5.2  采购人或者采购代理机构对规定时间内收到的澄清要求和对异议的答复，将在</w:t>
      </w:r>
      <w:r>
        <w:rPr>
          <w:rFonts w:hint="eastAsia"/>
          <w:color w:val="auto"/>
          <w:sz w:val="21"/>
          <w:szCs w:val="21"/>
          <w:highlight w:val="none"/>
          <w:lang w:eastAsia="zh-CN"/>
        </w:rPr>
        <w:t>“</w:t>
      </w:r>
      <w:r>
        <w:rPr>
          <w:rFonts w:hint="eastAsia"/>
          <w:color w:val="auto"/>
          <w:sz w:val="21"/>
          <w:szCs w:val="21"/>
          <w:highlight w:val="none"/>
        </w:rPr>
        <w:t>响水县人民政府网-招投标信息</w:t>
      </w:r>
      <w:r>
        <w:rPr>
          <w:rFonts w:hint="eastAsia"/>
          <w:color w:val="auto"/>
          <w:sz w:val="21"/>
          <w:szCs w:val="21"/>
          <w:highlight w:val="none"/>
          <w:lang w:val="en-US" w:eastAsia="zh-CN"/>
        </w:rPr>
        <w:t>-</w:t>
      </w:r>
      <w:r>
        <w:rPr>
          <w:rFonts w:hint="eastAsia"/>
          <w:color w:val="auto"/>
          <w:sz w:val="21"/>
          <w:szCs w:val="21"/>
          <w:highlight w:val="none"/>
        </w:rPr>
        <w:t>国企采购-</w:t>
      </w:r>
      <w:r>
        <w:rPr>
          <w:rFonts w:hint="eastAsia"/>
          <w:color w:val="auto"/>
          <w:sz w:val="21"/>
          <w:szCs w:val="21"/>
          <w:highlight w:val="none"/>
          <w:lang w:val="en-US" w:eastAsia="zh-CN"/>
        </w:rPr>
        <w:t>更正</w:t>
      </w:r>
      <w:r>
        <w:rPr>
          <w:rFonts w:hint="eastAsia"/>
          <w:color w:val="auto"/>
          <w:sz w:val="21"/>
          <w:szCs w:val="21"/>
          <w:highlight w:val="none"/>
        </w:rPr>
        <w:t>公告”栏下载，请投标人自行查看，否则后果自负。</w:t>
      </w:r>
    </w:p>
    <w:p w14:paraId="5769EAB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5.3  澄清或者对异议的答复作为招标文件的组成部分。</w:t>
      </w:r>
    </w:p>
    <w:p w14:paraId="68AAC22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5.4  澄清或者对异议的答复内容可能影响投标文件编制的，采购人或者采购代理机构应当在投标截止时间至少15日前，以5.2条款的形式通知所有获取招标文件的潜在投标人；不足15日的，采购人或者采购代理机构应当顺延提交投标文件的截止时间。</w:t>
      </w:r>
    </w:p>
    <w:p w14:paraId="436FEEAB">
      <w:pPr>
        <w:adjustRightInd w:val="0"/>
        <w:snapToGrid w:val="0"/>
        <w:spacing w:line="360" w:lineRule="auto"/>
        <w:ind w:firstLine="422" w:firstLineChars="200"/>
        <w:outlineLvl w:val="2"/>
        <w:rPr>
          <w:rFonts w:ascii="宋体" w:hAnsi="宋体" w:cs="宋体"/>
          <w:b/>
          <w:color w:val="auto"/>
          <w:sz w:val="21"/>
          <w:szCs w:val="21"/>
          <w:highlight w:val="none"/>
        </w:rPr>
      </w:pPr>
      <w:bookmarkStart w:id="46" w:name="_Toc15888"/>
      <w:r>
        <w:rPr>
          <w:rFonts w:hint="eastAsia" w:ascii="宋体" w:hAnsi="宋体" w:cs="宋体"/>
          <w:b/>
          <w:color w:val="auto"/>
          <w:sz w:val="21"/>
          <w:szCs w:val="21"/>
          <w:highlight w:val="none"/>
        </w:rPr>
        <w:t>6.招标文件的修改</w:t>
      </w:r>
      <w:bookmarkEnd w:id="42"/>
      <w:bookmarkEnd w:id="43"/>
      <w:bookmarkEnd w:id="44"/>
      <w:bookmarkEnd w:id="45"/>
      <w:bookmarkEnd w:id="46"/>
    </w:p>
    <w:p w14:paraId="380381E2">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  在投标截止期前的任何时候，无论出于何种原因，采购人或者采购代理机构均可主动地或在解答投标人提出的澄清问题时对招标文件进行修改。</w:t>
      </w:r>
    </w:p>
    <w:p w14:paraId="7AFC1217">
      <w:pPr>
        <w:widowControl/>
        <w:tabs>
          <w:tab w:val="left" w:pos="900"/>
        </w:tabs>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6.2  采购人或者采购代理机构对澄清或修改内容，将在响水县人民政府网-招投标信息“国企采购-采购公告”上公布，请投标人自行查看，否则后果自负。</w:t>
      </w:r>
    </w:p>
    <w:p w14:paraId="6D7E82BA">
      <w:pPr>
        <w:pStyle w:val="24"/>
        <w:adjustRightInd w:val="0"/>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6.3  澄清或者修改的内容作为招标文件的组成部分。</w:t>
      </w:r>
    </w:p>
    <w:p w14:paraId="71C9C727">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6.4  澄清或者修改的内容可能影响投标文件编制的，采购人或者采购代理机构应当在投标截止时间至少15日前，以6.2条款的形式通知所有获取招标文件的潜在投标人；不足15日的，采购人或者采购代理机构应当顺延提交投标文件的截止时间。</w:t>
      </w:r>
    </w:p>
    <w:p w14:paraId="4B5D7682">
      <w:pPr>
        <w:spacing w:beforeLines="25" w:afterLines="25"/>
        <w:jc w:val="center"/>
        <w:outlineLvl w:val="1"/>
        <w:rPr>
          <w:rFonts w:ascii="宋体" w:hAnsi="宋体" w:cs="宋体"/>
          <w:b/>
          <w:bCs/>
          <w:color w:val="auto"/>
          <w:sz w:val="28"/>
          <w:szCs w:val="28"/>
          <w:highlight w:val="none"/>
        </w:rPr>
      </w:pPr>
      <w:bookmarkStart w:id="47" w:name="_Toc27772"/>
      <w:bookmarkStart w:id="48" w:name="_Toc3291"/>
      <w:bookmarkStart w:id="49" w:name="_Toc11869"/>
      <w:bookmarkStart w:id="50" w:name="_Toc11166"/>
      <w:bookmarkStart w:id="51" w:name="_Toc28533"/>
      <w:r>
        <w:rPr>
          <w:rFonts w:hint="eastAsia" w:ascii="宋体" w:hAnsi="宋体" w:cs="宋体"/>
          <w:b/>
          <w:bCs/>
          <w:color w:val="auto"/>
          <w:sz w:val="28"/>
          <w:szCs w:val="28"/>
          <w:highlight w:val="none"/>
        </w:rPr>
        <w:t>三、投标文件的编制</w:t>
      </w:r>
      <w:bookmarkEnd w:id="47"/>
      <w:bookmarkEnd w:id="48"/>
      <w:bookmarkEnd w:id="49"/>
      <w:bookmarkEnd w:id="50"/>
      <w:bookmarkEnd w:id="51"/>
    </w:p>
    <w:p w14:paraId="2AD2A1F2">
      <w:pPr>
        <w:adjustRightInd w:val="0"/>
        <w:snapToGrid w:val="0"/>
        <w:spacing w:line="360" w:lineRule="auto"/>
        <w:ind w:firstLine="422" w:firstLineChars="200"/>
        <w:outlineLvl w:val="2"/>
        <w:rPr>
          <w:rFonts w:ascii="宋体" w:hAnsi="宋体" w:cs="宋体"/>
          <w:b/>
          <w:bCs/>
          <w:color w:val="auto"/>
          <w:sz w:val="21"/>
          <w:szCs w:val="21"/>
          <w:highlight w:val="none"/>
        </w:rPr>
      </w:pPr>
      <w:bookmarkStart w:id="52" w:name="_Toc11914"/>
      <w:r>
        <w:rPr>
          <w:rFonts w:hint="eastAsia" w:ascii="宋体" w:hAnsi="宋体" w:cs="宋体"/>
          <w:b/>
          <w:bCs/>
          <w:color w:val="auto"/>
          <w:sz w:val="21"/>
          <w:szCs w:val="21"/>
          <w:highlight w:val="none"/>
        </w:rPr>
        <w:t>7.投标文字及投标文件中计量单位的使用</w:t>
      </w:r>
      <w:bookmarkEnd w:id="52"/>
    </w:p>
    <w:p w14:paraId="2A1A3C8F">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投标文件中应使用中文，外文的除提供外文外应将外文翻译成中文并保证准确性。计量单位，除招标文件中有特殊要求外，应采用中华人民共和国法定计量单位。</w:t>
      </w:r>
    </w:p>
    <w:p w14:paraId="21B19740">
      <w:pPr>
        <w:adjustRightInd w:val="0"/>
        <w:snapToGrid w:val="0"/>
        <w:spacing w:line="360" w:lineRule="auto"/>
        <w:ind w:firstLine="422" w:firstLineChars="200"/>
        <w:outlineLvl w:val="2"/>
        <w:rPr>
          <w:rFonts w:ascii="宋体" w:hAnsi="宋体" w:cs="宋体"/>
          <w:b/>
          <w:bCs/>
          <w:color w:val="auto"/>
          <w:sz w:val="21"/>
          <w:szCs w:val="21"/>
          <w:highlight w:val="none"/>
        </w:rPr>
      </w:pPr>
      <w:bookmarkStart w:id="53" w:name="_Toc21494"/>
      <w:r>
        <w:rPr>
          <w:rFonts w:hint="eastAsia" w:ascii="宋体" w:hAnsi="宋体" w:cs="宋体"/>
          <w:b/>
          <w:bCs/>
          <w:color w:val="auto"/>
          <w:sz w:val="21"/>
          <w:szCs w:val="21"/>
          <w:highlight w:val="none"/>
        </w:rPr>
        <w:t>8.投标文件构成</w:t>
      </w:r>
      <w:bookmarkEnd w:id="53"/>
    </w:p>
    <w:p w14:paraId="1C7AD837">
      <w:pPr>
        <w:adjustRightInd w:val="0"/>
        <w:snapToGrid w:val="0"/>
        <w:spacing w:line="460" w:lineRule="exact"/>
        <w:ind w:firstLine="420" w:firstLineChars="200"/>
        <w:jc w:val="left"/>
        <w:rPr>
          <w:rFonts w:hint="eastAsia" w:ascii="宋体" w:hAnsi="宋体" w:cs="宋体"/>
          <w:b/>
          <w:bCs/>
          <w:color w:val="auto"/>
          <w:sz w:val="21"/>
          <w:szCs w:val="21"/>
          <w:highlight w:val="none"/>
        </w:rPr>
      </w:pPr>
      <w:bookmarkStart w:id="54" w:name="_Toc26187"/>
      <w:r>
        <w:rPr>
          <w:rFonts w:hint="eastAsia" w:ascii="宋体" w:hAnsi="宋体" w:cs="宋体"/>
          <w:color w:val="auto"/>
          <w:sz w:val="21"/>
          <w:szCs w:val="21"/>
          <w:highlight w:val="none"/>
        </w:rPr>
        <w:t>投标人应完整地按招标文件提供的投标文件格式填写投标文件，投标文件应包括以下内容（格式见第五章）：投标函、</w:t>
      </w:r>
      <w:r>
        <w:rPr>
          <w:rFonts w:hint="eastAsia" w:ascii="宋体" w:hAnsi="宋体" w:cs="宋体"/>
          <w:bCs/>
          <w:color w:val="auto"/>
          <w:sz w:val="21"/>
          <w:szCs w:val="21"/>
          <w:highlight w:val="none"/>
        </w:rPr>
        <w:t>法定代表人身份证明书</w:t>
      </w:r>
      <w:r>
        <w:rPr>
          <w:rFonts w:hint="eastAsia" w:ascii="宋体" w:hAnsi="宋体" w:cs="宋体"/>
          <w:color w:val="auto"/>
          <w:sz w:val="21"/>
          <w:szCs w:val="21"/>
          <w:highlight w:val="none"/>
        </w:rPr>
        <w:t>、授权委托书（如果有）、开标一览表、投标分项报价表、技术参数偏离表、资格证明文件、</w:t>
      </w:r>
      <w:r>
        <w:rPr>
          <w:rFonts w:hint="eastAsia" w:ascii="宋体" w:hAnsi="宋体" w:cs="宋体"/>
          <w:b w:val="0"/>
          <w:bCs/>
          <w:color w:val="auto"/>
          <w:sz w:val="21"/>
          <w:szCs w:val="21"/>
          <w:highlight w:val="none"/>
          <w:lang w:val="en-US" w:eastAsia="zh-CN"/>
        </w:rPr>
        <w:t>售后服务承诺、</w:t>
      </w:r>
      <w:r>
        <w:rPr>
          <w:rFonts w:hint="eastAsia" w:ascii="宋体" w:hAnsi="宋体" w:cs="宋体"/>
          <w:color w:val="auto"/>
          <w:sz w:val="21"/>
          <w:szCs w:val="21"/>
          <w:highlight w:val="none"/>
        </w:rPr>
        <w:t>事前信用承诺书、招标文件要求提供或投标人认为有必要提供的其他文件。</w:t>
      </w:r>
    </w:p>
    <w:p w14:paraId="1C75AAA5">
      <w:pPr>
        <w:adjustRightInd w:val="0"/>
        <w:snapToGrid w:val="0"/>
        <w:spacing w:line="360" w:lineRule="auto"/>
        <w:ind w:firstLine="422" w:firstLineChars="200"/>
        <w:outlineLvl w:val="2"/>
        <w:rPr>
          <w:rFonts w:ascii="宋体" w:hAnsi="宋体" w:cs="宋体"/>
          <w:b/>
          <w:bCs/>
          <w:color w:val="auto"/>
          <w:sz w:val="21"/>
          <w:szCs w:val="21"/>
          <w:highlight w:val="none"/>
        </w:rPr>
      </w:pPr>
      <w:r>
        <w:rPr>
          <w:rFonts w:hint="eastAsia" w:ascii="宋体" w:hAnsi="宋体" w:cs="宋体"/>
          <w:b/>
          <w:bCs/>
          <w:color w:val="auto"/>
          <w:sz w:val="21"/>
          <w:szCs w:val="21"/>
          <w:highlight w:val="none"/>
        </w:rPr>
        <w:t>9.货物的合格性和符合招标文件规定的文件</w:t>
      </w:r>
      <w:bookmarkEnd w:id="54"/>
    </w:p>
    <w:p w14:paraId="62190D45">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9.1  投标人所供货物和服务必须符合招标文件规定。</w:t>
      </w:r>
    </w:p>
    <w:p w14:paraId="60C0E421">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9.2</w:t>
      </w:r>
      <w:r>
        <w:rPr>
          <w:rFonts w:hint="eastAsia" w:ascii="宋体" w:hAnsi="宋体" w:cs="宋体"/>
          <w:color w:val="auto"/>
          <w:kern w:val="0"/>
          <w:sz w:val="21"/>
          <w:szCs w:val="21"/>
          <w:highlight w:val="none"/>
        </w:rPr>
        <w:t xml:space="preserve">  对照招标文件</w:t>
      </w:r>
      <w:r>
        <w:rPr>
          <w:rFonts w:hint="eastAsia" w:ascii="宋体" w:hAnsi="宋体" w:cs="宋体"/>
          <w:color w:val="auto"/>
          <w:sz w:val="21"/>
          <w:szCs w:val="21"/>
          <w:highlight w:val="none"/>
        </w:rPr>
        <w:t>技术规格，逐条说明所提供货物和服务已对招标文件的技术规格做出了实质性的响应，或申明与技术规格条文的偏差和例外。</w:t>
      </w:r>
    </w:p>
    <w:p w14:paraId="5421F6AE">
      <w:pPr>
        <w:adjustRightInd w:val="0"/>
        <w:snapToGrid w:val="0"/>
        <w:spacing w:line="360" w:lineRule="auto"/>
        <w:ind w:firstLine="422" w:firstLineChars="200"/>
        <w:outlineLvl w:val="2"/>
        <w:rPr>
          <w:rFonts w:ascii="宋体" w:hAnsi="宋体" w:cs="宋体"/>
          <w:b/>
          <w:bCs/>
          <w:color w:val="auto"/>
          <w:sz w:val="21"/>
          <w:szCs w:val="21"/>
          <w:highlight w:val="none"/>
        </w:rPr>
      </w:pPr>
      <w:bookmarkStart w:id="55" w:name="_Toc2610"/>
      <w:r>
        <w:rPr>
          <w:rFonts w:hint="eastAsia" w:ascii="宋体" w:hAnsi="宋体" w:cs="宋体"/>
          <w:b/>
          <w:bCs/>
          <w:color w:val="auto"/>
          <w:sz w:val="21"/>
          <w:szCs w:val="21"/>
          <w:highlight w:val="none"/>
        </w:rPr>
        <w:t>10.投标报价</w:t>
      </w:r>
      <w:bookmarkEnd w:id="55"/>
    </w:p>
    <w:p w14:paraId="4169CE1F">
      <w:pPr>
        <w:adjustRightInd w:val="0"/>
        <w:snapToGrid w:val="0"/>
        <w:spacing w:line="360" w:lineRule="auto"/>
        <w:ind w:firstLine="420" w:firstLineChars="200"/>
        <w:rPr>
          <w:rFonts w:ascii="宋体" w:hAnsi="宋体" w:cs="宋体"/>
          <w:color w:val="auto"/>
          <w:sz w:val="21"/>
          <w:szCs w:val="21"/>
          <w:highlight w:val="none"/>
        </w:rPr>
      </w:pPr>
      <w:bookmarkStart w:id="56" w:name="_Toc26233"/>
      <w:r>
        <w:rPr>
          <w:rFonts w:hint="eastAsia" w:ascii="宋体" w:hAnsi="宋体" w:cs="宋体"/>
          <w:color w:val="auto"/>
          <w:sz w:val="21"/>
          <w:szCs w:val="21"/>
          <w:highlight w:val="none"/>
        </w:rPr>
        <w:t>10.1  所有投标均以人民币报价。投标人的投标报价应遵守“中华人民共和国价格法”。</w:t>
      </w:r>
    </w:p>
    <w:p w14:paraId="1A4D0FF6">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10.2  投标人应在投标分项报价表上标明投标货物及相关服务的单价(如适用)和总价，并由法定代表人或其授权代表签署。</w:t>
      </w:r>
    </w:p>
    <w:p w14:paraId="4B2A5B7B">
      <w:pPr>
        <w:adjustRightInd w:val="0"/>
        <w:snapToGrid w:val="0"/>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sz w:val="21"/>
          <w:szCs w:val="21"/>
          <w:highlight w:val="none"/>
        </w:rPr>
        <w:t>10.3  报价包括但不限于</w:t>
      </w:r>
      <w:r>
        <w:rPr>
          <w:rFonts w:hint="eastAsia" w:ascii="宋体" w:hAnsi="宋体" w:cs="宋体"/>
          <w:color w:val="auto"/>
          <w:kern w:val="0"/>
          <w:sz w:val="21"/>
          <w:szCs w:val="21"/>
          <w:highlight w:val="none"/>
        </w:rPr>
        <w:t>对本项目</w:t>
      </w:r>
      <w:r>
        <w:rPr>
          <w:rFonts w:hint="eastAsia" w:ascii="宋体" w:hAnsi="宋体" w:cs="宋体"/>
          <w:color w:val="auto"/>
          <w:kern w:val="0"/>
          <w:sz w:val="21"/>
          <w:szCs w:val="21"/>
          <w:highlight w:val="none"/>
          <w:lang w:eastAsia="zh-CN"/>
        </w:rPr>
        <w:t>危废处置</w:t>
      </w:r>
      <w:r>
        <w:rPr>
          <w:rFonts w:hint="eastAsia" w:ascii="宋体" w:hAnsi="宋体" w:cs="宋体"/>
          <w:color w:val="auto"/>
          <w:kern w:val="0"/>
          <w:sz w:val="21"/>
          <w:szCs w:val="21"/>
          <w:highlight w:val="none"/>
        </w:rPr>
        <w:t>及其伴随服务各项支付金额的总和。上述金额包括但不限于服务人员的工资、国家规定的所有管理服务人员的社会保险、人身意外险、福利、培训、以及服务所用设备、工具购置及维修费用、服务所用材料消耗费用、运输、装卸、现场清扫、管理费用、利润、税金（需提供甲方要求的增值税专用发票</w:t>
      </w:r>
      <w:r>
        <w:rPr>
          <w:rFonts w:hint="eastAsia" w:ascii="宋体" w:hAnsi="宋体" w:cs="宋体"/>
          <w:color w:val="auto"/>
          <w:kern w:val="0"/>
          <w:sz w:val="21"/>
          <w:szCs w:val="21"/>
          <w:highlight w:val="none"/>
          <w:lang w:val="en-US" w:eastAsia="zh-CN"/>
        </w:rPr>
        <w:t>,税率6%</w:t>
      </w:r>
      <w:r>
        <w:rPr>
          <w:rFonts w:hint="eastAsia" w:ascii="宋体" w:hAnsi="宋体" w:cs="宋体"/>
          <w:color w:val="auto"/>
          <w:kern w:val="0"/>
          <w:sz w:val="21"/>
          <w:szCs w:val="21"/>
          <w:highlight w:val="none"/>
        </w:rPr>
        <w:t>）、政策性文件规定及合同包含的所有风险(包括但不限于遇最低工资调整、物价上涨、重大活动、检查、突发情况、税费调整等)、责任等各项应有费用。同时还应充分考虑市场风险、国家政策性调整风险系数以及承担的义务、责任、风险等一切因素、不可预见费及其他一切相关费用等全部费用</w:t>
      </w:r>
      <w:r>
        <w:rPr>
          <w:rFonts w:hint="eastAsia" w:ascii="宋体" w:hAnsi="宋体" w:cs="宋体"/>
          <w:color w:val="auto"/>
          <w:kern w:val="0"/>
          <w:sz w:val="21"/>
          <w:szCs w:val="21"/>
          <w:highlight w:val="none"/>
          <w:lang w:eastAsia="zh-CN"/>
        </w:rPr>
        <w:t>。</w:t>
      </w:r>
    </w:p>
    <w:p w14:paraId="6E0C4C0F">
      <w:pPr>
        <w:pStyle w:val="66"/>
        <w:spacing w:line="360" w:lineRule="auto"/>
        <w:ind w:firstLine="505"/>
        <w:jc w:val="both"/>
        <w:rPr>
          <w:rFonts w:hint="eastAsia" w:ascii="宋体" w:hAnsi="宋体" w:cs="宋体"/>
          <w:b/>
          <w:bCs/>
          <w:color w:val="auto"/>
          <w:kern w:val="0"/>
          <w:sz w:val="21"/>
          <w:szCs w:val="21"/>
          <w:highlight w:val="none"/>
          <w:lang w:eastAsia="zh-CN"/>
        </w:rPr>
      </w:pPr>
      <w:r>
        <w:rPr>
          <w:rFonts w:hint="eastAsia" w:ascii="宋体" w:hAnsi="宋体" w:eastAsia="宋体"/>
          <w:b/>
          <w:bCs/>
          <w:color w:val="auto"/>
          <w:sz w:val="21"/>
          <w:szCs w:val="21"/>
          <w:highlight w:val="none"/>
        </w:rPr>
        <w:t>投标人要认真阅读</w:t>
      </w:r>
      <w:r>
        <w:rPr>
          <w:rFonts w:hint="eastAsia" w:ascii="宋体" w:hAnsi="宋体" w:eastAsia="宋体"/>
          <w:b/>
          <w:bCs/>
          <w:color w:val="auto"/>
          <w:sz w:val="21"/>
          <w:szCs w:val="21"/>
          <w:highlight w:val="none"/>
          <w:lang w:eastAsia="zh-CN"/>
        </w:rPr>
        <w:t>招标文件</w:t>
      </w:r>
      <w:r>
        <w:rPr>
          <w:rFonts w:hint="eastAsia" w:ascii="宋体" w:hAnsi="宋体" w:eastAsia="宋体"/>
          <w:b/>
          <w:bCs/>
          <w:color w:val="auto"/>
          <w:sz w:val="21"/>
          <w:szCs w:val="21"/>
          <w:highlight w:val="none"/>
        </w:rPr>
        <w:t>，</w:t>
      </w:r>
      <w:r>
        <w:rPr>
          <w:rFonts w:hint="eastAsia" w:ascii="宋体" w:hAnsi="宋体"/>
          <w:b/>
          <w:bCs/>
          <w:color w:val="auto"/>
          <w:sz w:val="21"/>
          <w:szCs w:val="21"/>
          <w:highlight w:val="none"/>
          <w:lang w:eastAsia="zh-CN"/>
        </w:rPr>
        <w:t>可选择自行踏勘现场（踏勘费用自理），</w:t>
      </w:r>
      <w:r>
        <w:rPr>
          <w:rFonts w:hint="eastAsia" w:ascii="宋体" w:hAnsi="宋体" w:eastAsia="宋体"/>
          <w:b/>
          <w:bCs/>
          <w:color w:val="auto"/>
          <w:sz w:val="21"/>
          <w:szCs w:val="21"/>
          <w:highlight w:val="none"/>
        </w:rPr>
        <w:t>慎重报价。采购人不再支付报价以外的任何费用。</w:t>
      </w:r>
    </w:p>
    <w:p w14:paraId="77A88168">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10.4  投标人所报的各分项投标单价在合同履行过程中是固定不变的，不得以任何理由予以变更。任何包含价格调整要求的投标，将被认为是非响应性投标而予以拒绝。</w:t>
      </w:r>
    </w:p>
    <w:p w14:paraId="0BF5837B">
      <w:pPr>
        <w:adjustRightInd w:val="0"/>
        <w:snapToGrid w:val="0"/>
        <w:spacing w:line="360" w:lineRule="auto"/>
        <w:ind w:firstLine="420" w:firstLineChars="200"/>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10.5  每种货物和服务只能有一个投标报价。</w:t>
      </w:r>
    </w:p>
    <w:p w14:paraId="3B1182BC">
      <w:pPr>
        <w:adjustRightInd w:val="0"/>
        <w:snapToGrid w:val="0"/>
        <w:spacing w:line="360" w:lineRule="auto"/>
        <w:ind w:firstLine="422" w:firstLineChars="200"/>
        <w:outlineLvl w:val="2"/>
        <w:rPr>
          <w:rFonts w:ascii="宋体" w:hAnsi="宋体" w:cs="宋体"/>
          <w:b/>
          <w:bCs/>
          <w:color w:val="auto"/>
          <w:sz w:val="21"/>
          <w:szCs w:val="21"/>
          <w:highlight w:val="none"/>
        </w:rPr>
      </w:pPr>
      <w:r>
        <w:rPr>
          <w:rFonts w:hint="eastAsia" w:ascii="宋体" w:hAnsi="宋体" w:cs="宋体"/>
          <w:b/>
          <w:bCs/>
          <w:color w:val="auto"/>
          <w:sz w:val="21"/>
          <w:szCs w:val="21"/>
          <w:highlight w:val="none"/>
        </w:rPr>
        <w:t>11.资格证明文件</w:t>
      </w:r>
      <w:bookmarkEnd w:id="56"/>
    </w:p>
    <w:p w14:paraId="73A984AD">
      <w:pPr>
        <w:adjustRightInd w:val="0"/>
        <w:snapToGrid w:val="0"/>
        <w:spacing w:line="360" w:lineRule="auto"/>
        <w:ind w:firstLine="420" w:firstLineChars="200"/>
        <w:rPr>
          <w:rFonts w:eastAsia="方正大黑简体"/>
          <w:color w:val="auto"/>
          <w:sz w:val="21"/>
          <w:szCs w:val="21"/>
          <w:highlight w:val="none"/>
        </w:rPr>
      </w:pPr>
      <w:r>
        <w:rPr>
          <w:rFonts w:hint="eastAsia" w:ascii="宋体" w:hAnsi="宋体" w:cs="宋体"/>
          <w:color w:val="auto"/>
          <w:sz w:val="21"/>
          <w:szCs w:val="21"/>
          <w:highlight w:val="none"/>
        </w:rPr>
        <w:t>资格证明文件包括：书面声明</w:t>
      </w:r>
      <w:r>
        <w:rPr>
          <w:rFonts w:hint="eastAsia" w:ascii="宋体" w:hAnsi="宋体" w:cs="宋体"/>
          <w:color w:val="auto"/>
          <w:sz w:val="21"/>
          <w:szCs w:val="21"/>
          <w:highlight w:val="none"/>
          <w:lang w:eastAsia="zh-CN"/>
        </w:rPr>
        <w:t>、</w:t>
      </w:r>
      <w:r>
        <w:rPr>
          <w:rFonts w:hint="eastAsia" w:asciiTheme="minorEastAsia" w:hAnsiTheme="minorEastAsia"/>
          <w:color w:val="auto"/>
          <w:sz w:val="21"/>
          <w:szCs w:val="21"/>
          <w:highlight w:val="none"/>
        </w:rPr>
        <w:t>《危险废物经营许可证》</w:t>
      </w:r>
      <w:r>
        <w:rPr>
          <w:rFonts w:hint="eastAsia" w:asciiTheme="minorEastAsia" w:hAnsiTheme="minorEastAsia"/>
          <w:color w:val="auto"/>
          <w:sz w:val="21"/>
          <w:szCs w:val="21"/>
          <w:highlight w:val="none"/>
          <w:lang w:eastAsia="zh-CN"/>
        </w:rPr>
        <w:t>原件彩色</w:t>
      </w:r>
      <w:r>
        <w:rPr>
          <w:rFonts w:hint="eastAsia" w:ascii="宋体" w:hAnsi="宋体" w:cs="宋体"/>
          <w:color w:val="auto"/>
          <w:sz w:val="21"/>
          <w:szCs w:val="21"/>
          <w:highlight w:val="none"/>
          <w:lang w:val="en-US" w:eastAsia="zh-CN"/>
        </w:rPr>
        <w:t>扫描件</w:t>
      </w:r>
      <w:r>
        <w:rPr>
          <w:rStyle w:val="62"/>
          <w:rFonts w:hint="eastAsia" w:ascii="宋体" w:hAnsi="宋体" w:eastAsia="宋体" w:cs="宋体"/>
          <w:color w:val="auto"/>
          <w:sz w:val="21"/>
          <w:szCs w:val="21"/>
          <w:highlight w:val="none"/>
          <w:lang w:val="zh-TW"/>
        </w:rPr>
        <w:t>（</w:t>
      </w:r>
      <w:r>
        <w:rPr>
          <w:rStyle w:val="62"/>
          <w:rFonts w:hint="eastAsia" w:ascii="宋体" w:hAnsi="宋体" w:eastAsia="宋体" w:cs="宋体"/>
          <w:color w:val="auto"/>
          <w:sz w:val="21"/>
          <w:szCs w:val="21"/>
          <w:highlight w:val="none"/>
          <w:lang w:val="zh-TW" w:eastAsia="zh-CN"/>
        </w:rPr>
        <w:t>范围包含：</w:t>
      </w:r>
      <w:r>
        <w:rPr>
          <w:rStyle w:val="62"/>
          <w:rFonts w:hint="eastAsia" w:ascii="宋体" w:hAnsi="宋体" w:eastAsia="宋体" w:cs="宋体"/>
          <w:color w:val="auto"/>
          <w:sz w:val="21"/>
          <w:szCs w:val="21"/>
          <w:highlight w:val="none"/>
          <w:lang w:val="zh-TW"/>
        </w:rPr>
        <w:t>HW</w:t>
      </w:r>
      <w:r>
        <w:rPr>
          <w:rStyle w:val="62"/>
          <w:rFonts w:hint="eastAsia" w:ascii="宋体" w:hAnsi="宋体" w:eastAsia="宋体" w:cs="宋体"/>
          <w:color w:val="auto"/>
          <w:sz w:val="21"/>
          <w:szCs w:val="21"/>
          <w:highlight w:val="none"/>
          <w:lang w:val="en-US" w:eastAsia="zh-CN"/>
        </w:rPr>
        <w:t>49</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772-006-49</w:t>
      </w:r>
      <w:r>
        <w:rPr>
          <w:rStyle w:val="62"/>
          <w:rFonts w:hint="eastAsia" w:ascii="宋体" w:hAnsi="宋体" w:eastAsia="宋体" w:cs="宋体"/>
          <w:color w:val="auto"/>
          <w:sz w:val="21"/>
          <w:szCs w:val="21"/>
          <w:highlight w:val="none"/>
          <w:lang w:val="zh-TW"/>
        </w:rPr>
        <w:t>）</w:t>
      </w:r>
      <w:r>
        <w:rPr>
          <w:rFonts w:hint="eastAsia" w:ascii="宋体" w:hAnsi="宋体" w:cs="宋体"/>
          <w:color w:val="auto"/>
          <w:sz w:val="21"/>
          <w:szCs w:val="21"/>
          <w:highlight w:val="none"/>
          <w:lang w:val="en-US" w:eastAsia="zh-CN"/>
        </w:rPr>
        <w:t>、</w:t>
      </w:r>
      <w:r>
        <w:rPr>
          <w:rFonts w:hint="eastAsia" w:ascii="宋体" w:hAnsi="宋体" w:eastAsia="宋体"/>
          <w:color w:val="auto"/>
          <w:sz w:val="21"/>
          <w:szCs w:val="21"/>
          <w:highlight w:val="none"/>
        </w:rPr>
        <w:t>《道路危险货物运输许可证》</w:t>
      </w:r>
      <w:r>
        <w:rPr>
          <w:rFonts w:hint="eastAsia" w:asciiTheme="minorEastAsia" w:hAnsiTheme="minorEastAsia"/>
          <w:color w:val="auto"/>
          <w:sz w:val="21"/>
          <w:szCs w:val="21"/>
          <w:highlight w:val="none"/>
          <w:lang w:eastAsia="zh-CN"/>
        </w:rPr>
        <w:t>原件彩色</w:t>
      </w:r>
      <w:r>
        <w:rPr>
          <w:rFonts w:hint="eastAsia" w:ascii="宋体" w:hAnsi="宋体" w:cs="宋体"/>
          <w:color w:val="auto"/>
          <w:sz w:val="21"/>
          <w:szCs w:val="21"/>
          <w:highlight w:val="none"/>
          <w:lang w:val="en-US" w:eastAsia="zh-CN"/>
        </w:rPr>
        <w:t>扫描件</w:t>
      </w:r>
      <w:r>
        <w:rPr>
          <w:rFonts w:hint="eastAsia" w:ascii="宋体" w:hAnsi="宋体" w:eastAsia="宋体"/>
          <w:color w:val="auto"/>
          <w:sz w:val="21"/>
          <w:szCs w:val="21"/>
          <w:highlight w:val="none"/>
        </w:rPr>
        <w:t>（范围包含危险废物）</w:t>
      </w:r>
      <w:r>
        <w:rPr>
          <w:rFonts w:hint="eastAsia" w:ascii="宋体" w:hAnsi="宋体" w:cs="宋体"/>
          <w:color w:val="auto"/>
          <w:sz w:val="21"/>
          <w:szCs w:val="21"/>
          <w:highlight w:val="none"/>
        </w:rPr>
        <w:t>、营业执照原件彩色扫描件、“信用中国”等网站查询截图</w:t>
      </w:r>
      <w:r>
        <w:rPr>
          <w:rFonts w:hint="eastAsia" w:ascii="宋体" w:hAnsi="宋体" w:cs="宋体"/>
          <w:color w:val="auto"/>
          <w:sz w:val="21"/>
          <w:szCs w:val="21"/>
          <w:highlight w:val="none"/>
          <w:lang w:eastAsia="zh-CN"/>
        </w:rPr>
        <w:t>、投标保证金缴纳证明、</w:t>
      </w:r>
      <w:r>
        <w:rPr>
          <w:rFonts w:hint="eastAsia" w:ascii="宋体" w:hAnsi="宋体" w:cs="宋体"/>
          <w:color w:val="auto"/>
          <w:sz w:val="21"/>
          <w:szCs w:val="21"/>
          <w:highlight w:val="none"/>
        </w:rPr>
        <w:t>否则资格不予通过。</w:t>
      </w:r>
    </w:p>
    <w:p w14:paraId="67BE2E27">
      <w:pPr>
        <w:adjustRightInd w:val="0"/>
        <w:snapToGrid w:val="0"/>
        <w:spacing w:line="360" w:lineRule="auto"/>
        <w:ind w:firstLine="422" w:firstLineChars="200"/>
        <w:outlineLvl w:val="2"/>
        <w:rPr>
          <w:rFonts w:ascii="宋体" w:hAnsi="宋体" w:cs="宋体"/>
          <w:b/>
          <w:bCs/>
          <w:color w:val="auto"/>
          <w:sz w:val="21"/>
          <w:szCs w:val="21"/>
          <w:highlight w:val="none"/>
        </w:rPr>
      </w:pPr>
      <w:bookmarkStart w:id="57" w:name="_Toc9660"/>
      <w:r>
        <w:rPr>
          <w:rFonts w:hint="eastAsia" w:ascii="宋体" w:hAnsi="宋体" w:cs="宋体"/>
          <w:b/>
          <w:bCs/>
          <w:color w:val="auto"/>
          <w:sz w:val="21"/>
          <w:szCs w:val="21"/>
          <w:highlight w:val="none"/>
        </w:rPr>
        <w:t>12.投标有效期</w:t>
      </w:r>
      <w:bookmarkEnd w:id="57"/>
    </w:p>
    <w:p w14:paraId="09F913F1">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投标有效期从提交投标文件的截止之日起算</w:t>
      </w:r>
      <w:r>
        <w:rPr>
          <w:rFonts w:hint="eastAsia" w:ascii="宋体" w:hAnsi="宋体" w:cs="宋体"/>
          <w:color w:val="auto"/>
          <w:sz w:val="21"/>
          <w:szCs w:val="21"/>
          <w:highlight w:val="none"/>
          <w:u w:val="single"/>
        </w:rPr>
        <w:t xml:space="preserve"> 60 </w:t>
      </w:r>
      <w:r>
        <w:rPr>
          <w:rFonts w:hint="eastAsia" w:ascii="宋体" w:hAnsi="宋体" w:cs="宋体"/>
          <w:color w:val="auto"/>
          <w:sz w:val="21"/>
          <w:szCs w:val="21"/>
          <w:highlight w:val="none"/>
        </w:rPr>
        <w:t>天，投标文件中承诺的投标有效期应当不少于招标文件中载明的投标有效期。投标有效期不满足要求的投标将被视为非响应性投标而予以拒绝。</w:t>
      </w:r>
    </w:p>
    <w:p w14:paraId="633113EB">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12.2  采购人或采购代理机构可根据实际情况，在原投标有效期截止之前，要求投标人同意延长投标文件的有效期。接受该要求的投标人将不会被要求和允许修正其投标，投标人也可以拒绝招标采购人或采购代理机构的这种要求。上述要求和答复都应以书面形式提交。</w:t>
      </w:r>
    </w:p>
    <w:p w14:paraId="7CED806A">
      <w:pPr>
        <w:adjustRightInd w:val="0"/>
        <w:snapToGrid w:val="0"/>
        <w:spacing w:line="360" w:lineRule="auto"/>
        <w:ind w:firstLine="422" w:firstLineChars="200"/>
        <w:outlineLvl w:val="2"/>
        <w:rPr>
          <w:rFonts w:ascii="宋体" w:hAnsi="宋体" w:cs="宋体"/>
          <w:b/>
          <w:bCs/>
          <w:color w:val="auto"/>
          <w:sz w:val="21"/>
          <w:szCs w:val="21"/>
          <w:highlight w:val="none"/>
        </w:rPr>
      </w:pPr>
      <w:bookmarkStart w:id="58" w:name="_Toc13709"/>
      <w:r>
        <w:rPr>
          <w:rFonts w:hint="eastAsia" w:ascii="宋体" w:hAnsi="宋体" w:cs="宋体"/>
          <w:b/>
          <w:bCs/>
          <w:color w:val="auto"/>
          <w:sz w:val="21"/>
          <w:szCs w:val="21"/>
          <w:highlight w:val="none"/>
        </w:rPr>
        <w:t>13.投标文件的签署及规定</w:t>
      </w:r>
      <w:bookmarkEnd w:id="58"/>
    </w:p>
    <w:p w14:paraId="26198860">
      <w:pPr>
        <w:widowControl/>
        <w:adjustRightInd w:val="0"/>
        <w:snapToGrid w:val="0"/>
        <w:spacing w:line="360" w:lineRule="auto"/>
        <w:ind w:firstLine="420" w:firstLineChars="200"/>
        <w:jc w:val="left"/>
        <w:rPr>
          <w:rFonts w:ascii="宋体" w:hAnsi="宋体" w:cs="宋体"/>
          <w:b/>
          <w:bCs/>
          <w:color w:val="auto"/>
          <w:sz w:val="21"/>
          <w:szCs w:val="21"/>
          <w:highlight w:val="none"/>
        </w:rPr>
      </w:pPr>
      <w:r>
        <w:rPr>
          <w:rFonts w:hint="eastAsia" w:ascii="宋体" w:hAnsi="宋体" w:cs="宋体"/>
          <w:color w:val="auto"/>
          <w:sz w:val="21"/>
          <w:szCs w:val="21"/>
          <w:highlight w:val="none"/>
        </w:rPr>
        <w:t>13.1  投标人按要求签字盖章后生成PDF文档（PDF文档须清晰可辨，如因不清晰导致评标委员会无法评审，将被作为无效投标处理），使用压缩软件加密后发送至采购人指定的邮箱，</w:t>
      </w:r>
      <w:r>
        <w:rPr>
          <w:rFonts w:hint="eastAsia" w:ascii="宋体" w:hAnsi="宋体" w:cs="宋体"/>
          <w:b/>
          <w:bCs/>
          <w:color w:val="auto"/>
          <w:sz w:val="21"/>
          <w:szCs w:val="21"/>
          <w:highlight w:val="none"/>
        </w:rPr>
        <w:t>压缩包里面有且仅有一个文件</w:t>
      </w:r>
      <w:r>
        <w:rPr>
          <w:rFonts w:hint="eastAsia" w:ascii="宋体" w:hAnsi="宋体" w:cs="宋体"/>
          <w:color w:val="auto"/>
          <w:sz w:val="21"/>
          <w:szCs w:val="21"/>
          <w:highlight w:val="none"/>
        </w:rPr>
        <w:t>。压缩包文件名为本采购项目名称</w:t>
      </w:r>
      <w:r>
        <w:rPr>
          <w:rFonts w:hint="eastAsia" w:ascii="宋体" w:hAnsi="宋体" w:cs="宋体"/>
          <w:b/>
          <w:bCs/>
          <w:color w:val="auto"/>
          <w:sz w:val="21"/>
          <w:szCs w:val="21"/>
          <w:highlight w:val="none"/>
        </w:rPr>
        <w:t>+供应商单位简称（不超过五个字）</w:t>
      </w:r>
      <w:r>
        <w:rPr>
          <w:rFonts w:hint="eastAsia" w:ascii="宋体" w:hAnsi="宋体" w:cs="宋体"/>
          <w:color w:val="auto"/>
          <w:sz w:val="21"/>
          <w:szCs w:val="21"/>
          <w:highlight w:val="none"/>
        </w:rPr>
        <w:t>，邮箱发送主题与压缩包须标明“</w:t>
      </w:r>
      <w:r>
        <w:rPr>
          <w:rFonts w:hint="eastAsia" w:ascii="宋体" w:hAnsi="宋体" w:cs="宋体"/>
          <w:b/>
          <w:bCs/>
          <w:color w:val="auto"/>
          <w:sz w:val="21"/>
          <w:szCs w:val="21"/>
          <w:highlight w:val="none"/>
          <w:lang w:eastAsia="zh-CN"/>
        </w:rPr>
        <w:t>响水县灌江水务有限责任公司羽清污水厂污泥处置单位采购项目(二次）</w:t>
      </w:r>
      <w:r>
        <w:rPr>
          <w:rFonts w:hint="eastAsia" w:ascii="宋体" w:hAnsi="宋体" w:cs="宋体"/>
          <w:b/>
          <w:bCs/>
          <w:color w:val="auto"/>
          <w:sz w:val="21"/>
          <w:szCs w:val="21"/>
          <w:highlight w:val="none"/>
        </w:rPr>
        <w:t>投标文件+供应商单位简称（不超过五个字）”字样，PDF文件名称须标明“</w:t>
      </w:r>
      <w:r>
        <w:rPr>
          <w:rFonts w:hint="eastAsia" w:ascii="宋体" w:hAnsi="宋体" w:cs="宋体"/>
          <w:b/>
          <w:bCs/>
          <w:color w:val="auto"/>
          <w:sz w:val="21"/>
          <w:szCs w:val="21"/>
          <w:highlight w:val="none"/>
          <w:lang w:eastAsia="zh-CN"/>
        </w:rPr>
        <w:t>响水县灌江水务有限责任公司羽清污水厂污泥处置单位采购项目(二次）</w:t>
      </w:r>
      <w:r>
        <w:rPr>
          <w:rFonts w:hint="eastAsia" w:ascii="宋体" w:hAnsi="宋体" w:cs="宋体"/>
          <w:b/>
          <w:bCs/>
          <w:color w:val="auto"/>
          <w:sz w:val="21"/>
          <w:szCs w:val="21"/>
          <w:highlight w:val="none"/>
        </w:rPr>
        <w:t>投标文件+供应商单位简称（不超过五个字）”。</w:t>
      </w:r>
    </w:p>
    <w:p w14:paraId="2D5275E9">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  本采购项目有章印和签字要求的必须为原件彩色扫描件。</w:t>
      </w:r>
    </w:p>
    <w:p w14:paraId="47908B84">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13.3  中标单位在领取中标通知书时，须打印纸质投标文件正本1份、副本4份送至招标代理机构。提供的投标文件须与中标供应商提交的投标文件PDF文档一致。</w:t>
      </w:r>
    </w:p>
    <w:p w14:paraId="36BC988E">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  任何行间插字、涂改和增删，必须由投标文件签字人签字或盖章后才有效。</w:t>
      </w:r>
    </w:p>
    <w:p w14:paraId="6570C732">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13.5  投标文件因字迹潦草或表达不清所引起的后果由投标人负责。</w:t>
      </w:r>
    </w:p>
    <w:p w14:paraId="1A90103D">
      <w:pPr>
        <w:spacing w:beforeLines="25" w:afterLines="25"/>
        <w:jc w:val="center"/>
        <w:outlineLvl w:val="1"/>
        <w:rPr>
          <w:rFonts w:ascii="宋体" w:hAnsi="宋体" w:cs="宋体"/>
          <w:b/>
          <w:bCs/>
          <w:color w:val="auto"/>
          <w:sz w:val="28"/>
          <w:szCs w:val="28"/>
          <w:highlight w:val="none"/>
        </w:rPr>
      </w:pPr>
      <w:bookmarkStart w:id="59" w:name="_Toc4497"/>
      <w:bookmarkStart w:id="60" w:name="_Toc22155"/>
      <w:bookmarkStart w:id="61" w:name="_Toc2308"/>
      <w:bookmarkStart w:id="62" w:name="_Toc25104"/>
      <w:bookmarkStart w:id="63" w:name="_Toc13886"/>
      <w:r>
        <w:rPr>
          <w:rFonts w:hint="eastAsia" w:ascii="宋体" w:hAnsi="宋体" w:cs="宋体"/>
          <w:b/>
          <w:bCs/>
          <w:color w:val="auto"/>
          <w:sz w:val="28"/>
          <w:szCs w:val="28"/>
          <w:highlight w:val="none"/>
        </w:rPr>
        <w:t>四、投标文件的递交</w:t>
      </w:r>
      <w:bookmarkEnd w:id="59"/>
      <w:bookmarkEnd w:id="60"/>
      <w:bookmarkEnd w:id="61"/>
      <w:bookmarkEnd w:id="62"/>
      <w:bookmarkEnd w:id="63"/>
    </w:p>
    <w:p w14:paraId="73E69943">
      <w:pPr>
        <w:adjustRightInd w:val="0"/>
        <w:snapToGrid w:val="0"/>
        <w:spacing w:line="360" w:lineRule="auto"/>
        <w:ind w:firstLine="422" w:firstLineChars="200"/>
        <w:jc w:val="left"/>
        <w:rPr>
          <w:rFonts w:ascii="宋体" w:hAnsi="宋体" w:cs="宋体"/>
          <w:b/>
          <w:bCs/>
          <w:color w:val="auto"/>
          <w:sz w:val="21"/>
          <w:szCs w:val="21"/>
          <w:highlight w:val="none"/>
        </w:rPr>
      </w:pPr>
      <w:bookmarkStart w:id="64" w:name="_Toc25091"/>
      <w:bookmarkStart w:id="65" w:name="_Toc23922"/>
      <w:r>
        <w:rPr>
          <w:rFonts w:hint="eastAsia" w:ascii="宋体" w:hAnsi="宋体" w:cs="宋体"/>
          <w:b/>
          <w:bCs/>
          <w:color w:val="auto"/>
          <w:sz w:val="21"/>
          <w:szCs w:val="21"/>
          <w:highlight w:val="none"/>
        </w:rPr>
        <w:t>14.投标文件的递交</w:t>
      </w:r>
      <w:bookmarkEnd w:id="64"/>
      <w:bookmarkEnd w:id="65"/>
    </w:p>
    <w:p w14:paraId="1D881C24">
      <w:pPr>
        <w:adjustRightInd w:val="0"/>
        <w:snapToGrid w:val="0"/>
        <w:spacing w:line="360" w:lineRule="auto"/>
        <w:ind w:firstLine="420" w:firstLineChars="200"/>
        <w:outlineLvl w:val="2"/>
        <w:rPr>
          <w:rFonts w:ascii="宋体" w:hAnsi="宋体" w:cs="宋体"/>
          <w:color w:val="auto"/>
          <w:sz w:val="21"/>
          <w:szCs w:val="21"/>
          <w:highlight w:val="none"/>
        </w:rPr>
      </w:pPr>
      <w:bookmarkStart w:id="66" w:name="_Toc7613"/>
      <w:bookmarkStart w:id="67" w:name="_Toc24679"/>
      <w:bookmarkStart w:id="68" w:name="_Toc32494"/>
      <w:r>
        <w:rPr>
          <w:rFonts w:hint="eastAsia" w:ascii="宋体" w:hAnsi="宋体" w:cs="宋体"/>
          <w:color w:val="auto"/>
          <w:sz w:val="21"/>
          <w:szCs w:val="21"/>
          <w:highlight w:val="none"/>
        </w:rPr>
        <w:t>14.1  各投标人必须在投标截止时间前发送加密的投标文件至采购人指定的邮箱（</w:t>
      </w:r>
      <w:r>
        <w:rPr>
          <w:rFonts w:hint="eastAsia" w:ascii="宋体" w:hAnsi="宋体" w:cs="宋体"/>
          <w:b/>
          <w:bCs/>
          <w:color w:val="auto"/>
          <w:sz w:val="21"/>
          <w:szCs w:val="21"/>
          <w:highlight w:val="none"/>
          <w:lang w:eastAsia="zh-CN"/>
        </w:rPr>
        <w:t>jszz18051700818@163.com</w:t>
      </w:r>
      <w:r>
        <w:rPr>
          <w:rFonts w:hint="eastAsia" w:ascii="宋体" w:hAnsi="宋体" w:cs="宋体"/>
          <w:color w:val="auto"/>
          <w:sz w:val="21"/>
          <w:szCs w:val="21"/>
          <w:highlight w:val="none"/>
        </w:rPr>
        <w:t>）。</w:t>
      </w:r>
      <w:bookmarkEnd w:id="66"/>
      <w:bookmarkEnd w:id="67"/>
      <w:bookmarkEnd w:id="68"/>
    </w:p>
    <w:p w14:paraId="21A2C022">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  各投标人需在开标前提前下载“腾讯会议”直播APP，参见开标会议，会议号：</w:t>
      </w:r>
      <w:r>
        <w:rPr>
          <w:rFonts w:hint="eastAsia" w:ascii="宋体" w:hAnsi="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498 963 784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，直接观看直播和在线交流。各投标人自行准备相关硬件设备，确保网络畅通，音响保持正常使用状态。不得因未能观看到视频直播对开标会议提出质疑。</w:t>
      </w:r>
    </w:p>
    <w:p w14:paraId="5DFAFBAB">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14.3  投标人必须在投标文件</w:t>
      </w:r>
      <w:r>
        <w:rPr>
          <w:rFonts w:hint="eastAsia" w:ascii="宋体" w:hAnsi="宋体" w:cs="宋体"/>
          <w:b/>
          <w:bCs/>
          <w:color w:val="auto"/>
          <w:sz w:val="21"/>
          <w:szCs w:val="21"/>
          <w:highlight w:val="none"/>
        </w:rPr>
        <w:t>提交截止时间后15分钟内</w:t>
      </w:r>
      <w:r>
        <w:rPr>
          <w:rFonts w:hint="eastAsia" w:ascii="宋体" w:hAnsi="宋体" w:cs="宋体"/>
          <w:color w:val="auto"/>
          <w:sz w:val="21"/>
          <w:szCs w:val="21"/>
          <w:highlight w:val="none"/>
        </w:rPr>
        <w:t>，将投标文件的解密密码发送至采购人指定的邮箱，邮箱主题标明“单位名称+解密密码”字样，逾期未发送或因自身原因未能发送的，其投标无效。</w:t>
      </w:r>
    </w:p>
    <w:p w14:paraId="5A17930E">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14.4  投标文件有下列情形之一的，将被拒绝接收：</w:t>
      </w:r>
    </w:p>
    <w:p w14:paraId="5E2818C1">
      <w:pPr>
        <w:adjustRightInd w:val="0"/>
        <w:snapToGrid w:val="0"/>
        <w:spacing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（1）投标人递交的投标文件和解密密码由不同邮箱发送的；</w:t>
      </w:r>
    </w:p>
    <w:p w14:paraId="788FFBDD">
      <w:pPr>
        <w:adjustRightInd w:val="0"/>
        <w:snapToGrid w:val="0"/>
        <w:spacing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（2）投标人递交的投标文件逾期到达或未发送至指定邮箱的；</w:t>
      </w:r>
    </w:p>
    <w:p w14:paraId="265F8EAF">
      <w:pPr>
        <w:adjustRightInd w:val="0"/>
        <w:snapToGrid w:val="0"/>
        <w:spacing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（3）投标人的解密密码在投标文件提交截止时间前发送的或在规定发送密码的截止时间后发送的；</w:t>
      </w:r>
    </w:p>
    <w:p w14:paraId="12F8A681">
      <w:pPr>
        <w:pStyle w:val="38"/>
        <w:snapToGrid w:val="0"/>
        <w:spacing w:line="360" w:lineRule="auto"/>
        <w:ind w:firstLine="420" w:firstLineChars="200"/>
        <w:rPr>
          <w:rFonts w:eastAsia="宋体"/>
          <w:b w:val="0"/>
          <w:bCs w:val="0"/>
          <w:color w:val="auto"/>
          <w:kern w:val="2"/>
          <w:sz w:val="21"/>
          <w:szCs w:val="21"/>
          <w:highlight w:val="none"/>
        </w:rPr>
      </w:pPr>
      <w:r>
        <w:rPr>
          <w:rFonts w:hint="eastAsia" w:eastAsia="宋体"/>
          <w:b w:val="0"/>
          <w:bCs w:val="0"/>
          <w:color w:val="auto"/>
          <w:kern w:val="2"/>
          <w:sz w:val="21"/>
          <w:szCs w:val="21"/>
          <w:highlight w:val="none"/>
        </w:rPr>
        <w:t>（4）解压后的文件无法正常打开；</w:t>
      </w:r>
    </w:p>
    <w:p w14:paraId="62C62A78">
      <w:pPr>
        <w:pStyle w:val="38"/>
        <w:snapToGrid w:val="0"/>
        <w:spacing w:line="360" w:lineRule="auto"/>
        <w:ind w:firstLine="420" w:firstLineChars="200"/>
        <w:rPr>
          <w:rFonts w:eastAsia="宋体"/>
          <w:b w:val="0"/>
          <w:bCs w:val="0"/>
          <w:color w:val="auto"/>
          <w:kern w:val="2"/>
          <w:sz w:val="21"/>
          <w:szCs w:val="21"/>
          <w:highlight w:val="none"/>
        </w:rPr>
      </w:pPr>
      <w:r>
        <w:rPr>
          <w:rFonts w:hint="eastAsia" w:eastAsia="宋体"/>
          <w:b w:val="0"/>
          <w:bCs w:val="0"/>
          <w:color w:val="auto"/>
          <w:kern w:val="2"/>
          <w:sz w:val="21"/>
          <w:szCs w:val="21"/>
          <w:highlight w:val="none"/>
        </w:rPr>
        <w:t>（5）投标人递交的投标文件未加密的。</w:t>
      </w:r>
    </w:p>
    <w:p w14:paraId="00CD2900">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14.5  各投标人法定代表人（负责人）或授权代表须持身份证原件出席视频直播会议，并保证在开标过程中随时出示，由采购人代表核验。</w:t>
      </w:r>
    </w:p>
    <w:p w14:paraId="32BC360E">
      <w:pPr>
        <w:adjustRightInd w:val="0"/>
        <w:snapToGrid w:val="0"/>
        <w:spacing w:line="360" w:lineRule="auto"/>
        <w:ind w:firstLine="422" w:firstLineChars="200"/>
        <w:outlineLvl w:val="2"/>
        <w:rPr>
          <w:rFonts w:ascii="宋体" w:hAnsi="宋体" w:cs="宋体"/>
          <w:b/>
          <w:bCs/>
          <w:color w:val="auto"/>
          <w:sz w:val="21"/>
          <w:szCs w:val="21"/>
          <w:highlight w:val="none"/>
        </w:rPr>
      </w:pPr>
      <w:bookmarkStart w:id="69" w:name="_Toc23649"/>
      <w:r>
        <w:rPr>
          <w:rFonts w:hint="eastAsia" w:ascii="宋体" w:hAnsi="宋体" w:cs="宋体"/>
          <w:b/>
          <w:bCs/>
          <w:color w:val="auto"/>
          <w:sz w:val="21"/>
          <w:szCs w:val="21"/>
          <w:highlight w:val="none"/>
        </w:rPr>
        <w:t>15.投标截止时间、地点</w:t>
      </w:r>
      <w:bookmarkEnd w:id="69"/>
    </w:p>
    <w:p w14:paraId="2BFDAD01">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投标截止时间：</w:t>
      </w:r>
      <w:r>
        <w:rPr>
          <w:rFonts w:hint="eastAsia" w:ascii="宋体" w:hAnsi="宋体" w:cs="宋体"/>
          <w:bCs/>
          <w:color w:val="auto"/>
          <w:sz w:val="21"/>
          <w:szCs w:val="21"/>
          <w:highlight w:val="none"/>
        </w:rPr>
        <w:t>详</w:t>
      </w:r>
      <w:r>
        <w:rPr>
          <w:rFonts w:hint="eastAsia" w:ascii="宋体" w:hAnsi="宋体" w:cs="宋体"/>
          <w:bCs/>
          <w:color w:val="auto"/>
          <w:sz w:val="21"/>
          <w:szCs w:val="21"/>
          <w:highlight w:val="none"/>
          <w:lang w:val="en-US" w:eastAsia="zh-CN"/>
        </w:rPr>
        <w:t>见</w:t>
      </w:r>
      <w:r>
        <w:rPr>
          <w:rFonts w:hint="eastAsia" w:ascii="宋体" w:hAnsi="宋体" w:cs="宋体"/>
          <w:bCs/>
          <w:color w:val="auto"/>
          <w:sz w:val="21"/>
          <w:szCs w:val="21"/>
          <w:highlight w:val="none"/>
        </w:rPr>
        <w:t>公告</w:t>
      </w:r>
      <w:r>
        <w:rPr>
          <w:rFonts w:hint="eastAsia" w:ascii="宋体" w:hAnsi="宋体" w:cs="宋体"/>
          <w:color w:val="auto"/>
          <w:sz w:val="21"/>
          <w:szCs w:val="21"/>
          <w:highlight w:val="none"/>
        </w:rPr>
        <w:t>。</w:t>
      </w:r>
    </w:p>
    <w:p w14:paraId="4BE362CF">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15.2  </w:t>
      </w:r>
      <w:r>
        <w:rPr>
          <w:rFonts w:hint="eastAsia"/>
          <w:color w:val="auto"/>
          <w:kern w:val="2"/>
          <w:sz w:val="21"/>
          <w:szCs w:val="21"/>
          <w:highlight w:val="none"/>
        </w:rPr>
        <w:t>投标递交地点：上传加密的投标文件至采购人指定邮箱：</w:t>
      </w:r>
      <w:r>
        <w:rPr>
          <w:rFonts w:hint="eastAsia"/>
          <w:color w:val="auto"/>
          <w:kern w:val="2"/>
          <w:sz w:val="21"/>
          <w:szCs w:val="21"/>
          <w:highlight w:val="none"/>
          <w:lang w:eastAsia="zh-CN"/>
        </w:rPr>
        <w:t>jszz18051700818@163.com</w:t>
      </w:r>
      <w:r>
        <w:rPr>
          <w:rFonts w:hint="eastAsia"/>
          <w:color w:val="auto"/>
          <w:kern w:val="2"/>
          <w:sz w:val="21"/>
          <w:szCs w:val="21"/>
          <w:highlight w:val="none"/>
        </w:rPr>
        <w:t>。</w:t>
      </w:r>
    </w:p>
    <w:p w14:paraId="5D27345A">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15.3  采购人或采购代理机构有权延长投标截止期。在此情况下，采购人和投标人受投标截止期制约的所有权利和义务均应延长至新的截止期。</w:t>
      </w:r>
    </w:p>
    <w:p w14:paraId="36CD98D9">
      <w:pPr>
        <w:adjustRightInd w:val="0"/>
        <w:snapToGrid w:val="0"/>
        <w:spacing w:line="360" w:lineRule="auto"/>
        <w:ind w:firstLine="422" w:firstLineChars="200"/>
        <w:outlineLvl w:val="2"/>
        <w:rPr>
          <w:rFonts w:ascii="宋体" w:hAnsi="宋体" w:cs="宋体"/>
          <w:b/>
          <w:bCs/>
          <w:color w:val="auto"/>
          <w:sz w:val="21"/>
          <w:szCs w:val="21"/>
          <w:highlight w:val="none"/>
        </w:rPr>
      </w:pPr>
      <w:bookmarkStart w:id="70" w:name="_Toc10432"/>
      <w:r>
        <w:rPr>
          <w:rFonts w:hint="eastAsia" w:ascii="宋体" w:hAnsi="宋体" w:cs="宋体"/>
          <w:b/>
          <w:bCs/>
          <w:color w:val="auto"/>
          <w:sz w:val="21"/>
          <w:szCs w:val="21"/>
          <w:highlight w:val="none"/>
        </w:rPr>
        <w:t>16.投标文件的补充、修改、撤回、撤销</w:t>
      </w:r>
      <w:bookmarkEnd w:id="70"/>
    </w:p>
    <w:p w14:paraId="7DBD3D60">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16.1  供应商在投标截止时间前，可以对所递交的响应性文件进行补充、修改或者撤回，并书面通知采购人或者采购代理机构。补充、修改的内容应当按照招标文件要求签署、盖章、密封后，作为响应性文件的组成部分。供应商应按规定重新编制发送，并在邮箱发送主题上标明“补充、修改”字样。投标截止时间之后，供应商不得修改或撤回响应性文件。</w:t>
      </w:r>
    </w:p>
    <w:p w14:paraId="2D7ADBC2">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16.2  在投标截止期之后，投标人不得对其投标文件做任何修改。</w:t>
      </w:r>
    </w:p>
    <w:p w14:paraId="42E7D580">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16.3  投标有效期内，投标人如撤销其投标，将按招标文件规定予以处理。</w:t>
      </w:r>
    </w:p>
    <w:p w14:paraId="76CAE8CA">
      <w:pPr>
        <w:spacing w:beforeLines="25" w:afterLines="25"/>
        <w:jc w:val="center"/>
        <w:outlineLvl w:val="1"/>
        <w:rPr>
          <w:rFonts w:ascii="宋体" w:hAnsi="宋体" w:cs="宋体"/>
          <w:b/>
          <w:bCs/>
          <w:color w:val="auto"/>
          <w:sz w:val="28"/>
          <w:szCs w:val="28"/>
          <w:highlight w:val="none"/>
        </w:rPr>
      </w:pPr>
      <w:bookmarkStart w:id="71" w:name="_Toc2555"/>
      <w:bookmarkStart w:id="72" w:name="_Toc1940"/>
      <w:bookmarkStart w:id="73" w:name="_Toc22058"/>
      <w:bookmarkStart w:id="74" w:name="_Toc10259"/>
      <w:bookmarkStart w:id="75" w:name="_Toc4575"/>
      <w:r>
        <w:rPr>
          <w:rFonts w:hint="eastAsia" w:ascii="宋体" w:hAnsi="宋体" w:cs="宋体"/>
          <w:b/>
          <w:bCs/>
          <w:color w:val="auto"/>
          <w:sz w:val="28"/>
          <w:szCs w:val="28"/>
          <w:highlight w:val="none"/>
        </w:rPr>
        <w:t>五、开标</w:t>
      </w:r>
      <w:bookmarkEnd w:id="71"/>
      <w:bookmarkEnd w:id="72"/>
      <w:bookmarkEnd w:id="73"/>
      <w:bookmarkEnd w:id="74"/>
      <w:bookmarkEnd w:id="75"/>
    </w:p>
    <w:p w14:paraId="72D62193">
      <w:pPr>
        <w:adjustRightInd w:val="0"/>
        <w:snapToGrid w:val="0"/>
        <w:spacing w:line="360" w:lineRule="auto"/>
        <w:ind w:firstLine="422" w:firstLineChars="200"/>
        <w:outlineLvl w:val="2"/>
        <w:rPr>
          <w:rFonts w:ascii="宋体" w:hAnsi="宋体" w:cs="宋体"/>
          <w:b/>
          <w:bCs/>
          <w:color w:val="auto"/>
          <w:sz w:val="21"/>
          <w:szCs w:val="21"/>
          <w:highlight w:val="none"/>
        </w:rPr>
      </w:pPr>
      <w:bookmarkStart w:id="76" w:name="_Toc5193"/>
      <w:bookmarkStart w:id="77" w:name="_Toc20788"/>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开标时间、地点</w:t>
      </w:r>
      <w:bookmarkEnd w:id="76"/>
      <w:bookmarkEnd w:id="77"/>
    </w:p>
    <w:p w14:paraId="05C6A9B4">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17.1  开标时间：同投标文件递交截止时间。</w:t>
      </w:r>
    </w:p>
    <w:p w14:paraId="7EBF3967">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17.2  开标地点：网上开标，</w:t>
      </w:r>
      <w:r>
        <w:rPr>
          <w:rFonts w:hint="eastAsia" w:ascii="宋体" w:hAnsi="宋体" w:cs="宋体"/>
          <w:b/>
          <w:bCs/>
          <w:color w:val="auto"/>
          <w:sz w:val="21"/>
          <w:szCs w:val="21"/>
          <w:highlight w:val="none"/>
        </w:rPr>
        <w:t>腾讯会议号：</w:t>
      </w:r>
      <w:r>
        <w:rPr>
          <w:rFonts w:hint="eastAsia" w:ascii="宋体" w:hAnsi="宋体" w:cs="宋体"/>
          <w:b/>
          <w:bCs/>
          <w:color w:val="auto"/>
          <w:sz w:val="21"/>
          <w:szCs w:val="21"/>
          <w:highlight w:val="none"/>
          <w:u w:val="single"/>
          <w:lang w:val="en-US" w:eastAsia="zh-CN"/>
        </w:rPr>
        <w:t xml:space="preserve">   498 963 784     </w:t>
      </w:r>
      <w:r>
        <w:rPr>
          <w:rFonts w:hint="eastAsia" w:ascii="宋体" w:hAnsi="宋体" w:cs="宋体"/>
          <w:b/>
          <w:bCs/>
          <w:color w:val="auto"/>
          <w:sz w:val="21"/>
          <w:szCs w:val="21"/>
          <w:highlight w:val="none"/>
        </w:rPr>
        <w:t>。</w:t>
      </w:r>
    </w:p>
    <w:p w14:paraId="46504797">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17.3  开标时邀请所有投标人代表、采购人和有关方面代表参加。</w:t>
      </w:r>
    </w:p>
    <w:p w14:paraId="5AC8C97F">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17.4  工作人员进入指定邮箱下载各投标人的投标文件，宣读投标人名称、投标价格等主要内容。如同一投标人在投标截止时间之前发送了两份或多份投标文件，则以最后发送的投标文件为准。对于投标人在投标截止期前递交的投标声明，在开标时当众宣读，评标时有效。</w:t>
      </w:r>
    </w:p>
    <w:p w14:paraId="14E4613D">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未宣读的投标价格、价格折扣等实质内容，评标时不予承认。</w:t>
      </w:r>
    </w:p>
    <w:p w14:paraId="0B93C870">
      <w:pPr>
        <w:spacing w:line="420" w:lineRule="exact"/>
        <w:ind w:firstLine="420" w:firstLineChars="200"/>
        <w:rPr>
          <w:rFonts w:ascii="宋体" w:hAnsi="宋体" w:cs="宋体"/>
          <w:color w:val="auto"/>
          <w:sz w:val="21"/>
          <w:szCs w:val="21"/>
          <w:highlight w:val="none"/>
        </w:rPr>
      </w:pPr>
      <w:bookmarkStart w:id="78" w:name="_Toc15555"/>
      <w:bookmarkStart w:id="79" w:name="_Toc19719"/>
      <w:bookmarkStart w:id="80" w:name="_Toc28467"/>
      <w:bookmarkStart w:id="81" w:name="_Toc18044"/>
      <w:bookmarkStart w:id="82" w:name="_Toc21048"/>
      <w:r>
        <w:rPr>
          <w:rFonts w:hint="eastAsia" w:ascii="宋体" w:hAnsi="宋体" w:cs="宋体"/>
          <w:color w:val="auto"/>
          <w:sz w:val="21"/>
          <w:szCs w:val="21"/>
          <w:highlight w:val="none"/>
        </w:rPr>
        <w:t xml:space="preserve">17.5 采购代理机构将对唱标内容做开标记录。  </w:t>
      </w:r>
    </w:p>
    <w:p w14:paraId="28554B38">
      <w:pPr>
        <w:spacing w:line="4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供应商在报价时不允许采用选择性报价，否则将被视为无效投标。</w:t>
      </w:r>
    </w:p>
    <w:p w14:paraId="69689857">
      <w:pPr>
        <w:spacing w:line="4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 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4C77F43A">
      <w:pPr>
        <w:spacing w:line="4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  供应商未参加开标的，视同认可开标结果。</w:t>
      </w:r>
    </w:p>
    <w:p w14:paraId="16D631D1">
      <w:pPr>
        <w:spacing w:beforeLines="25" w:afterLines="25"/>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六、资格审查</w:t>
      </w:r>
      <w:bookmarkEnd w:id="78"/>
      <w:bookmarkEnd w:id="79"/>
      <w:bookmarkEnd w:id="80"/>
      <w:bookmarkEnd w:id="81"/>
      <w:bookmarkEnd w:id="82"/>
    </w:p>
    <w:p w14:paraId="3DD988EC">
      <w:pPr>
        <w:adjustRightInd w:val="0"/>
        <w:snapToGrid w:val="0"/>
        <w:spacing w:line="360" w:lineRule="auto"/>
        <w:ind w:firstLine="422" w:firstLineChars="200"/>
        <w:jc w:val="left"/>
        <w:outlineLvl w:val="2"/>
        <w:rPr>
          <w:rFonts w:ascii="宋体" w:hAnsi="宋体" w:cs="宋体"/>
          <w:b/>
          <w:bCs/>
          <w:color w:val="auto"/>
          <w:sz w:val="21"/>
          <w:szCs w:val="21"/>
          <w:highlight w:val="none"/>
        </w:rPr>
      </w:pPr>
      <w:bookmarkStart w:id="83" w:name="_Toc14055"/>
      <w:r>
        <w:rPr>
          <w:rFonts w:hint="eastAsia" w:ascii="宋体" w:hAnsi="宋体" w:cs="宋体"/>
          <w:b/>
          <w:bCs/>
          <w:color w:val="auto"/>
          <w:sz w:val="21"/>
          <w:szCs w:val="21"/>
          <w:highlight w:val="none"/>
        </w:rPr>
        <w:t>18.资格审查组织</w:t>
      </w:r>
      <w:bookmarkEnd w:id="83"/>
    </w:p>
    <w:p w14:paraId="5A2719EE">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18.1  公开招标采购项目开标结束后，采购人和采购代理机构共同对投标人的资格进行审查，合格投标人不足3家的，不得评标。</w:t>
      </w:r>
    </w:p>
    <w:p w14:paraId="293E8FD8">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18.2  采购人和代理机构在进行资格性审查的同时，将在全国法院失信被执行人名单信息公布与查询平台（http://zxgk.court.gov.cn/shixin/）和“信用中国”网站（www.creditchina.gov.cn）对供应商是否被列入失信被执行人、重大税收违法失信主体、政府采购严重失信行为记录名单情况进行查询，列入名单的供应商不具备投标资格。查询结果将以网页打印的形式留存并归档。</w:t>
      </w:r>
    </w:p>
    <w:p w14:paraId="685CE785">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18.3  资格审查标准：依据法规政策和招标文件的规定，对投标人进行资格审查，以确定其是否具备投标资格。投标人存在以下情形之一的，资格审查不合格，其投标无效：</w:t>
      </w:r>
    </w:p>
    <w:p w14:paraId="5F9EC263">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（1）未提供书面声明的；</w:t>
      </w:r>
    </w:p>
    <w:p w14:paraId="3C3E0A4B">
      <w:pPr>
        <w:adjustRightInd w:val="0"/>
        <w:snapToGrid w:val="0"/>
        <w:spacing w:line="360" w:lineRule="auto"/>
        <w:ind w:firstLine="420" w:firstLineChars="200"/>
        <w:jc w:val="left"/>
        <w:rPr>
          <w:rFonts w:hint="eastAsia" w:ascii="宋体" w:hAnsi="宋体" w:cs="宋体"/>
          <w:bCs/>
          <w:color w:val="auto"/>
          <w:kern w:val="0"/>
          <w:sz w:val="21"/>
          <w:szCs w:val="21"/>
          <w:highlight w:val="none"/>
        </w:rPr>
      </w:pPr>
      <w:r>
        <w:rPr>
          <w:rFonts w:hint="eastAsia" w:ascii="宋体" w:hAnsi="宋体" w:cs="宋体"/>
          <w:color w:val="auto"/>
          <w:sz w:val="21"/>
          <w:szCs w:val="21"/>
          <w:highlight w:val="none"/>
        </w:rPr>
        <w:t>（2）未提供营业执照扫描件或虽提供但已失效的</w:t>
      </w:r>
      <w:r>
        <w:rPr>
          <w:rFonts w:hint="eastAsia" w:ascii="宋体" w:hAnsi="宋体" w:cs="宋体"/>
          <w:bCs/>
          <w:color w:val="auto"/>
          <w:kern w:val="0"/>
          <w:sz w:val="21"/>
          <w:szCs w:val="21"/>
          <w:highlight w:val="none"/>
        </w:rPr>
        <w:t>；</w:t>
      </w:r>
    </w:p>
    <w:p w14:paraId="440E5BCA">
      <w:pPr>
        <w:widowControl/>
        <w:adjustRightInd w:val="0"/>
        <w:snapToGrid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未提供</w:t>
      </w:r>
      <w:r>
        <w:rPr>
          <w:rFonts w:hint="eastAsia" w:asciiTheme="minorEastAsia" w:hAnsiTheme="minorEastAsia"/>
          <w:color w:val="000000" w:themeColor="text1"/>
          <w:sz w:val="21"/>
          <w:szCs w:val="21"/>
          <w:highlight w:val="none"/>
          <w14:textFill>
            <w14:solidFill>
              <w14:schemeClr w14:val="tx1"/>
            </w14:solidFill>
          </w14:textFill>
        </w:rPr>
        <w:t>《危险废物经营许可证</w:t>
      </w:r>
      <w:r>
        <w:rPr>
          <w:rFonts w:hint="eastAsia" w:asciiTheme="minorEastAsia" w:hAnsiTheme="minorEastAsia"/>
          <w:color w:val="000000" w:themeColor="text1"/>
          <w:sz w:val="24"/>
          <w:highlight w:val="none"/>
          <w14:textFill>
            <w14:solidFill>
              <w14:schemeClr w14:val="tx1"/>
            </w14:solidFill>
          </w14:textFill>
        </w:rPr>
        <w:t>》</w:t>
      </w:r>
      <w:r>
        <w:rPr>
          <w:rFonts w:hint="eastAsia" w:ascii="宋体" w:hAnsi="宋体" w:cs="宋体"/>
          <w:color w:val="auto"/>
          <w:sz w:val="21"/>
          <w:szCs w:val="21"/>
          <w:highlight w:val="none"/>
          <w:lang w:val="en-US" w:eastAsia="zh-CN"/>
        </w:rPr>
        <w:t>并加盖公章的扫描件。</w:t>
      </w:r>
    </w:p>
    <w:p w14:paraId="22BCC499">
      <w:pPr>
        <w:widowControl/>
        <w:adjustRightInd w:val="0"/>
        <w:snapToGrid w:val="0"/>
        <w:spacing w:line="360" w:lineRule="auto"/>
        <w:ind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未提供</w:t>
      </w:r>
      <w:r>
        <w:rPr>
          <w:rFonts w:hint="eastAsia" w:ascii="宋体" w:hAnsi="宋体" w:eastAsia="宋体"/>
          <w:color w:val="000000" w:themeColor="text1"/>
          <w:sz w:val="21"/>
          <w:szCs w:val="21"/>
          <w:highlight w:val="none"/>
          <w14:textFill>
            <w14:solidFill>
              <w14:schemeClr w14:val="tx1"/>
            </w14:solidFill>
          </w14:textFill>
        </w:rPr>
        <w:t>《道路危险货物运输许可证》（范围包含危险废物）</w:t>
      </w:r>
      <w:r>
        <w:rPr>
          <w:rFonts w:hint="eastAsia" w:ascii="宋体" w:hAnsi="宋体" w:eastAsia="宋体"/>
          <w:color w:val="000000" w:themeColor="text1"/>
          <w:sz w:val="21"/>
          <w:szCs w:val="21"/>
          <w:highlight w:val="none"/>
          <w:lang w:eastAsia="zh-CN"/>
          <w14:textFill>
            <w14:solidFill>
              <w14:schemeClr w14:val="tx1"/>
            </w14:solidFill>
          </w14:textFill>
        </w:rPr>
        <w:t>并加盖公章的</w:t>
      </w:r>
      <w:r>
        <w:rPr>
          <w:rFonts w:hint="eastAsia" w:ascii="宋体" w:hAnsi="宋体" w:cs="宋体"/>
          <w:color w:val="auto"/>
          <w:sz w:val="21"/>
          <w:szCs w:val="21"/>
          <w:highlight w:val="none"/>
          <w:lang w:val="en-US" w:eastAsia="zh-CN"/>
        </w:rPr>
        <w:t>扫描件。</w:t>
      </w:r>
    </w:p>
    <w:p w14:paraId="01643395">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投标人被全国法院失信被执行人名单信息公布与查询平台（http://zxgk.court.gov.cn/shixin/）列入失信被执行人，或投标人被“信用中国”网站（www.creditchina.gov.cn）列入重大税收违法失信主体、政府采购严重失信行为记录名单；</w:t>
      </w:r>
    </w:p>
    <w:p w14:paraId="022CF3BA">
      <w:pPr>
        <w:adjustRightInd w:val="0"/>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）单位负责人为同一个人或者存在直接控股、管理关系的不同投标人，在本合同项下同时投标；</w:t>
      </w:r>
    </w:p>
    <w:p w14:paraId="64212005">
      <w:pPr>
        <w:adjustRightInd w:val="0"/>
        <w:snapToGrid w:val="0"/>
        <w:spacing w:line="360" w:lineRule="auto"/>
        <w:ind w:firstLine="420" w:firstLineChars="200"/>
        <w:jc w:val="left"/>
        <w:rPr>
          <w:rFonts w:hint="eastAsia" w:eastAsia="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）以联合体方式投标的。</w:t>
      </w:r>
    </w:p>
    <w:p w14:paraId="1BEBD6FD">
      <w:pPr>
        <w:spacing w:beforeLines="25" w:afterLines="25"/>
        <w:jc w:val="center"/>
        <w:outlineLvl w:val="1"/>
        <w:rPr>
          <w:rFonts w:ascii="宋体" w:hAnsi="宋体" w:cs="宋体"/>
          <w:b/>
          <w:bCs/>
          <w:color w:val="auto"/>
          <w:sz w:val="28"/>
          <w:szCs w:val="28"/>
          <w:highlight w:val="none"/>
        </w:rPr>
      </w:pPr>
      <w:bookmarkStart w:id="84" w:name="_Toc17693"/>
      <w:bookmarkStart w:id="85" w:name="_Toc2386"/>
      <w:bookmarkStart w:id="86" w:name="_Toc5191"/>
      <w:bookmarkStart w:id="87" w:name="_Toc13481"/>
      <w:bookmarkStart w:id="88" w:name="_Toc20503"/>
      <w:r>
        <w:rPr>
          <w:rFonts w:hint="eastAsia" w:ascii="宋体" w:hAnsi="宋体" w:cs="宋体"/>
          <w:b/>
          <w:bCs/>
          <w:color w:val="auto"/>
          <w:sz w:val="28"/>
          <w:szCs w:val="28"/>
          <w:highlight w:val="none"/>
        </w:rPr>
        <w:t>七、评标</w:t>
      </w:r>
      <w:bookmarkEnd w:id="84"/>
      <w:bookmarkEnd w:id="85"/>
      <w:bookmarkEnd w:id="86"/>
      <w:bookmarkEnd w:id="87"/>
      <w:bookmarkEnd w:id="88"/>
    </w:p>
    <w:p w14:paraId="1545EB88">
      <w:pPr>
        <w:adjustRightInd w:val="0"/>
        <w:snapToGrid w:val="0"/>
        <w:spacing w:line="360" w:lineRule="auto"/>
        <w:ind w:firstLine="422" w:firstLineChars="200"/>
        <w:outlineLvl w:val="2"/>
        <w:rPr>
          <w:rFonts w:ascii="宋体" w:hAnsi="宋体" w:cs="宋体"/>
          <w:b/>
          <w:bCs/>
          <w:color w:val="auto"/>
          <w:sz w:val="21"/>
          <w:szCs w:val="21"/>
          <w:highlight w:val="none"/>
        </w:rPr>
      </w:pPr>
      <w:bookmarkStart w:id="89" w:name="_Toc25136"/>
      <w:r>
        <w:rPr>
          <w:rFonts w:hint="eastAsia" w:ascii="宋体" w:hAnsi="宋体" w:cs="宋体"/>
          <w:b/>
          <w:bCs/>
          <w:color w:val="auto"/>
          <w:sz w:val="21"/>
          <w:szCs w:val="21"/>
          <w:highlight w:val="none"/>
        </w:rPr>
        <w:t>19.评标委员会</w:t>
      </w:r>
      <w:bookmarkEnd w:id="89"/>
    </w:p>
    <w:p w14:paraId="18DF447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19.1  评标委员会由采购人代表和有关技术、经济等方面的专家组成，成员人数应当为5人以上单数，其中评审专家不得少于成员总数的三分之二。评审专家通过随机方式从采购评审专家库中抽取。</w:t>
      </w:r>
    </w:p>
    <w:p w14:paraId="0497618D">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19.2  评审专家对本单位的采购项目只能作为采购人代表参与评标。出席开标活动的采购人代表不得参加评标委员会。采购代理机构工作人员不得参加由本机构代理的采购项目的评标。</w:t>
      </w:r>
    </w:p>
    <w:p w14:paraId="715FE901">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19.3  评标委员会成员名单在评标结果公告前应当保密。</w:t>
      </w:r>
    </w:p>
    <w:p w14:paraId="23FAB2D9">
      <w:pPr>
        <w:adjustRightInd w:val="0"/>
        <w:snapToGrid w:val="0"/>
        <w:spacing w:line="360" w:lineRule="auto"/>
        <w:ind w:firstLine="422" w:firstLineChars="200"/>
        <w:outlineLvl w:val="2"/>
        <w:rPr>
          <w:rFonts w:ascii="宋体" w:hAnsi="宋体" w:cs="宋体"/>
          <w:b/>
          <w:bCs/>
          <w:color w:val="auto"/>
          <w:sz w:val="21"/>
          <w:szCs w:val="21"/>
          <w:highlight w:val="none"/>
        </w:rPr>
      </w:pPr>
      <w:bookmarkStart w:id="90" w:name="_Toc6759"/>
      <w:r>
        <w:rPr>
          <w:rFonts w:hint="eastAsia" w:ascii="宋体" w:hAnsi="宋体" w:cs="宋体"/>
          <w:b/>
          <w:bCs/>
          <w:color w:val="auto"/>
          <w:sz w:val="21"/>
          <w:szCs w:val="21"/>
          <w:highlight w:val="none"/>
        </w:rPr>
        <w:t>20.组织评标</w:t>
      </w:r>
      <w:bookmarkEnd w:id="90"/>
    </w:p>
    <w:p w14:paraId="257C9C8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采购人或者采购代理机构负责组织评标工作，并履行下列职责：</w:t>
      </w:r>
    </w:p>
    <w:p w14:paraId="4DD17DBA">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20.1  核对评审专家身份和采购人代表授权函，对评审专家在采购活动中的职责履行情况予以记录，并及时将有关违法违规行为向监督部门报告；</w:t>
      </w:r>
    </w:p>
    <w:p w14:paraId="0C5AAFEB">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20.2  宣布评标纪律；</w:t>
      </w:r>
    </w:p>
    <w:p w14:paraId="42BA59F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20.3  公布投标人名单，告知评审专家应当回避的情形；</w:t>
      </w:r>
    </w:p>
    <w:p w14:paraId="1CC055EC">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20.4  组织评标委员会推选评标组长，采购人代表不得担任组长；</w:t>
      </w:r>
    </w:p>
    <w:p w14:paraId="7583720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20.5  在评标期间采取必要的通讯管理措施，保证评标活动不受外界干扰；</w:t>
      </w:r>
    </w:p>
    <w:p w14:paraId="73A23BDA">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20.6  根据评标委员会的要求介绍相关政策法规、招标文件；</w:t>
      </w:r>
    </w:p>
    <w:p w14:paraId="3019660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20.7  维护评标秩序，监督评标委员会依照招标文件规定的评标程序、方法和标准进行独立评审，及时制止和纠正采购人代表、评审专家的倾向性言论或者违法违规行为；</w:t>
      </w:r>
    </w:p>
    <w:p w14:paraId="236A1A4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20.8  核对评标结果，评标结果汇总完成后，任何人不得修改评标结果，除下列情形外：1）分值汇总计算错误的；2）分项评分超出评分标准范围的；3）评标委员会成员对客观评审因素评分不一致的；4）经评标委员会认定评分畸高、畸低的。要求评标委员会复核或者书面说明理由，评标委员会拒绝的，应予记录并向监督部门报告；</w:t>
      </w:r>
    </w:p>
    <w:p w14:paraId="63C395F7">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20.9  评审工作完成后，按照规定向评审专家支付劳务报酬和异地评审差旅费，不得向评审专家以外的其他人员支付评审劳务报酬；</w:t>
      </w:r>
    </w:p>
    <w:p w14:paraId="05CEAF3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20.10  处理与评标有关的其他事项。</w:t>
      </w:r>
    </w:p>
    <w:p w14:paraId="4C75706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采购人或采购代理机构可以在评标前说明项目背景和采购需求，说明内容不得含有歧视性、倾向性意见，不得超出招标文件所述范围。说明应当提交书面材料，并随采购文件一并存档。</w:t>
      </w:r>
    </w:p>
    <w:p w14:paraId="5B534069">
      <w:pPr>
        <w:adjustRightInd w:val="0"/>
        <w:snapToGrid w:val="0"/>
        <w:spacing w:line="360" w:lineRule="auto"/>
        <w:ind w:firstLine="422" w:firstLineChars="200"/>
        <w:outlineLvl w:val="2"/>
        <w:rPr>
          <w:rFonts w:ascii="宋体" w:hAnsi="宋体" w:cs="宋体"/>
          <w:b/>
          <w:bCs/>
          <w:color w:val="auto"/>
          <w:sz w:val="21"/>
          <w:szCs w:val="21"/>
          <w:highlight w:val="none"/>
        </w:rPr>
      </w:pPr>
      <w:bookmarkStart w:id="91" w:name="_Toc20428"/>
      <w:r>
        <w:rPr>
          <w:rFonts w:hint="eastAsia" w:ascii="宋体" w:hAnsi="宋体" w:cs="宋体"/>
          <w:b/>
          <w:bCs/>
          <w:color w:val="auto"/>
          <w:sz w:val="21"/>
          <w:szCs w:val="21"/>
          <w:highlight w:val="none"/>
        </w:rPr>
        <w:t>21.评标委员会评标事务和履行职责</w:t>
      </w:r>
      <w:bookmarkEnd w:id="91"/>
    </w:p>
    <w:p w14:paraId="39300DE7">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评标委员会负责具体评标事务，并独立履行下列职责：</w:t>
      </w:r>
    </w:p>
    <w:p w14:paraId="01AF5E0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21.1  审查、评价投标文件是否符合招标文件的商务、技术等实质性要求；</w:t>
      </w:r>
    </w:p>
    <w:p w14:paraId="54E3106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21.2  要求投标人对投标文件有关事项作出澄清或者说明；</w:t>
      </w:r>
    </w:p>
    <w:p w14:paraId="5F1A9D25">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21.3  对投标文件进行比较和评价；</w:t>
      </w:r>
    </w:p>
    <w:p w14:paraId="7F4858B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21.4  确定中标候选人名单，或者根据采购人委托直接确定中标人；</w:t>
      </w:r>
    </w:p>
    <w:p w14:paraId="0DD9DCE1">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21.5  向采购人、采购代理机构或者有关部门报告评标中发现的违法行为。</w:t>
      </w:r>
    </w:p>
    <w:p w14:paraId="415670EC">
      <w:pPr>
        <w:adjustRightInd w:val="0"/>
        <w:snapToGrid w:val="0"/>
        <w:spacing w:line="360" w:lineRule="auto"/>
        <w:ind w:firstLine="422" w:firstLineChars="200"/>
        <w:outlineLvl w:val="2"/>
        <w:rPr>
          <w:rFonts w:ascii="宋体" w:hAnsi="宋体" w:cs="宋体"/>
          <w:b/>
          <w:bCs/>
          <w:color w:val="auto"/>
          <w:sz w:val="21"/>
          <w:szCs w:val="21"/>
          <w:highlight w:val="none"/>
        </w:rPr>
      </w:pPr>
      <w:bookmarkStart w:id="92" w:name="_Toc29748"/>
      <w:r>
        <w:rPr>
          <w:rFonts w:hint="eastAsia" w:ascii="宋体" w:hAnsi="宋体" w:cs="宋体"/>
          <w:b/>
          <w:bCs/>
          <w:color w:val="auto"/>
          <w:sz w:val="21"/>
          <w:szCs w:val="21"/>
          <w:highlight w:val="none"/>
        </w:rPr>
        <w:t>22.符合性审查</w:t>
      </w:r>
      <w:bookmarkEnd w:id="92"/>
    </w:p>
    <w:p w14:paraId="408FEB6B">
      <w:pPr>
        <w:pStyle w:val="24"/>
        <w:adjustRightInd w:val="0"/>
        <w:snapToGrid w:val="0"/>
        <w:spacing w:before="0" w:beforeAutospacing="0" w:after="0" w:afterAutospacing="0" w:line="360" w:lineRule="auto"/>
        <w:ind w:firstLine="420" w:firstLineChars="200"/>
        <w:jc w:val="both"/>
        <w:rPr>
          <w:b/>
          <w:bCs/>
          <w:color w:val="auto"/>
          <w:sz w:val="21"/>
          <w:szCs w:val="21"/>
          <w:highlight w:val="none"/>
        </w:rPr>
      </w:pPr>
      <w:r>
        <w:rPr>
          <w:rFonts w:hint="eastAsia"/>
          <w:color w:val="auto"/>
          <w:sz w:val="21"/>
          <w:szCs w:val="21"/>
          <w:highlight w:val="none"/>
        </w:rPr>
        <w:t>评标委员会应当对符合资格的投标人的投标文件进行符合性审查，以确定其是否满足招标文件的实质性要求。</w:t>
      </w:r>
    </w:p>
    <w:p w14:paraId="73A70B22">
      <w:pPr>
        <w:adjustRightInd w:val="0"/>
        <w:snapToGrid w:val="0"/>
        <w:spacing w:line="360" w:lineRule="auto"/>
        <w:ind w:firstLine="422" w:firstLineChars="200"/>
        <w:outlineLvl w:val="2"/>
        <w:rPr>
          <w:rFonts w:ascii="宋体" w:hAnsi="宋体" w:cs="宋体"/>
          <w:b/>
          <w:bCs/>
          <w:color w:val="auto"/>
          <w:sz w:val="21"/>
          <w:szCs w:val="21"/>
          <w:highlight w:val="none"/>
        </w:rPr>
      </w:pPr>
      <w:bookmarkStart w:id="93" w:name="_Toc23843"/>
      <w:r>
        <w:rPr>
          <w:rFonts w:hint="eastAsia" w:ascii="宋体" w:hAnsi="宋体" w:cs="宋体"/>
          <w:b/>
          <w:bCs/>
          <w:color w:val="auto"/>
          <w:sz w:val="21"/>
          <w:szCs w:val="21"/>
          <w:highlight w:val="none"/>
        </w:rPr>
        <w:t>23.无效标条款</w:t>
      </w:r>
      <w:bookmarkEnd w:id="93"/>
    </w:p>
    <w:p w14:paraId="1BF62A9A">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投标人存在下列情况之一的，投标无效：</w:t>
      </w:r>
    </w:p>
    <w:p w14:paraId="6EC9C1C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23.1  投标文件未按招标文件要求签署、盖章的；</w:t>
      </w:r>
    </w:p>
    <w:p w14:paraId="639F275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23.2  不具备招标文件中规定的资格要求的；</w:t>
      </w:r>
    </w:p>
    <w:p w14:paraId="17FC6A7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23.3  报价超过招标文件中规定的预算金额或者最高限价的；</w:t>
      </w:r>
    </w:p>
    <w:p w14:paraId="0DE033D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23.4  投标文件含有采购人不能接受的附加条件的；</w:t>
      </w:r>
    </w:p>
    <w:p w14:paraId="16DFF9DD">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23.5  未按招标文件规定报价的；</w:t>
      </w:r>
    </w:p>
    <w:p w14:paraId="05325090">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23.6  投标有效期、供货时间、质保期等不满足招标文件要求的；</w:t>
      </w:r>
    </w:p>
    <w:p w14:paraId="71E26ECE">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23.7  不符合招标文件中规定的其它实质性条款；</w:t>
      </w:r>
    </w:p>
    <w:p w14:paraId="7B3877B1">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23.8  投标人未遵循公平竞争的原则，恶意串通，妨碍其他投标人的竞争行为，损害采购人或者其他投标人的合法权益的；</w:t>
      </w:r>
    </w:p>
    <w:p w14:paraId="242C72D7">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23.9  有下列情形之一的，视为投标人串通投标，其投标无效：</w:t>
      </w:r>
    </w:p>
    <w:p w14:paraId="477790E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（1）不同投标人的投标文件由同一单位或者个人编制；</w:t>
      </w:r>
    </w:p>
    <w:p w14:paraId="2AD63905">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（2）不同投标人委托同一单位或者个人办理投标事宜；</w:t>
      </w:r>
    </w:p>
    <w:p w14:paraId="3376080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（3）不同投标人的投标文件载明的项目管理成员或者联系人员为同一人；</w:t>
      </w:r>
    </w:p>
    <w:p w14:paraId="7E4D5C87">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（4）不同投标人的投标文件异常一致或者投标报价呈规律性差异；</w:t>
      </w:r>
    </w:p>
    <w:p w14:paraId="64452B7F">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（5）不同投标人的投标文件相互混装。</w:t>
      </w:r>
    </w:p>
    <w:p w14:paraId="1A59FE9D">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23.10  投标人递交两份或多份内容不同的投标文件，或在一份投标文件中对同一招标项目报有两个或多个报价，且未声明哪一个有效，按招标文件规定提交备选方案的除外；</w:t>
      </w:r>
    </w:p>
    <w:p w14:paraId="79452DA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23.11  投标文件未加密的，或者在规定时段内未发送解密密码的；</w:t>
      </w:r>
    </w:p>
    <w:p w14:paraId="7272247F">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23.12  因PDF文档不清晰让评标委员会无法评审的；</w:t>
      </w:r>
    </w:p>
    <w:p w14:paraId="1696BFB1">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23.13  未按招标文件要求制作投标文件PDF的；</w:t>
      </w:r>
    </w:p>
    <w:p w14:paraId="12AEEE84">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23.14  不同投标人的投标文件由同一邮箱发送投标文件的；</w:t>
      </w:r>
    </w:p>
    <w:p w14:paraId="54EC77E1">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23.15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2C3AB6">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23.16  法律、法规和招标文件规定的其他无效情形。</w:t>
      </w:r>
    </w:p>
    <w:p w14:paraId="062545CC">
      <w:pPr>
        <w:pStyle w:val="24"/>
        <w:adjustRightInd w:val="0"/>
        <w:snapToGrid w:val="0"/>
        <w:spacing w:before="0" w:beforeAutospacing="0" w:after="0" w:afterAutospacing="0" w:line="348" w:lineRule="auto"/>
        <w:ind w:firstLine="422" w:firstLineChars="200"/>
        <w:jc w:val="both"/>
        <w:rPr>
          <w:b/>
          <w:bCs/>
          <w:color w:val="auto"/>
          <w:sz w:val="21"/>
          <w:szCs w:val="21"/>
          <w:highlight w:val="none"/>
        </w:rPr>
      </w:pPr>
      <w:r>
        <w:rPr>
          <w:rFonts w:hint="eastAsia"/>
          <w:b/>
          <w:bCs/>
          <w:color w:val="auto"/>
          <w:sz w:val="21"/>
          <w:szCs w:val="21"/>
          <w:highlight w:val="none"/>
        </w:rPr>
        <w:t>24.澄清、说明或者补正</w:t>
      </w:r>
    </w:p>
    <w:p w14:paraId="669C1456">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24.1  对于投标文件中含义不明确、同类问题表述不一致或者有明显文字和计算错误的内容，评标委员会应当以书面形式要求投标人作出必要的澄清、说明或者补正。</w:t>
      </w:r>
    </w:p>
    <w:p w14:paraId="6DD88668">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24.2  投标人的澄清、说明或者补正应当采用书面形式，并加盖公章，或者由法定代表人（负责人）或其授权的代表签字。投标人的澄清、说明或者补正不得超出投标文件的范围或者改变投标文件的实质性内容。</w:t>
      </w:r>
    </w:p>
    <w:p w14:paraId="7900A251">
      <w:pPr>
        <w:adjustRightInd w:val="0"/>
        <w:snapToGrid w:val="0"/>
        <w:spacing w:line="348" w:lineRule="auto"/>
        <w:ind w:firstLine="422" w:firstLineChars="200"/>
        <w:outlineLvl w:val="2"/>
        <w:rPr>
          <w:rFonts w:ascii="宋体" w:hAnsi="宋体" w:cs="宋体"/>
          <w:b/>
          <w:bCs/>
          <w:color w:val="auto"/>
          <w:sz w:val="21"/>
          <w:szCs w:val="21"/>
          <w:highlight w:val="none"/>
        </w:rPr>
      </w:pPr>
      <w:bookmarkStart w:id="94" w:name="_Toc29711"/>
      <w:r>
        <w:rPr>
          <w:rFonts w:hint="eastAsia" w:ascii="宋体" w:hAnsi="宋体" w:cs="宋体"/>
          <w:b/>
          <w:bCs/>
          <w:color w:val="auto"/>
          <w:sz w:val="21"/>
          <w:szCs w:val="21"/>
          <w:highlight w:val="none"/>
        </w:rPr>
        <w:t>25.投标文件报价修正</w:t>
      </w:r>
      <w:bookmarkEnd w:id="94"/>
    </w:p>
    <w:p w14:paraId="285773CC">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投标文件报价出现前后不一致的，按照下列规定修正：</w:t>
      </w:r>
    </w:p>
    <w:p w14:paraId="7B1EFB37">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25.1  投标文件中开标一览表（报价表）内容与投标文件中相应内容不一致的，以开标一览表（报价表）为准；</w:t>
      </w:r>
    </w:p>
    <w:p w14:paraId="6B20DE5A">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25.2  大写金额和小写金额不一致的，以大写金额为准；</w:t>
      </w:r>
    </w:p>
    <w:p w14:paraId="08FAE429">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24.3  单价金额小数点或者百分比有明显错位的，以开标一览表的总价为准，并修改单价；</w:t>
      </w:r>
    </w:p>
    <w:p w14:paraId="5C41DA91">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25.4  总价金额与按单价汇总金额不一致的，以单价金额计算结果为准。</w:t>
      </w:r>
    </w:p>
    <w:p w14:paraId="7E5B62F8">
      <w:pPr>
        <w:adjustRightInd w:val="0"/>
        <w:snapToGrid w:val="0"/>
        <w:spacing w:line="348" w:lineRule="auto"/>
        <w:ind w:firstLine="420" w:firstLineChars="200"/>
        <w:outlineLvl w:val="2"/>
        <w:rPr>
          <w:rFonts w:ascii="宋体" w:hAnsi="宋体" w:cs="宋体"/>
          <w:color w:val="auto"/>
          <w:sz w:val="21"/>
          <w:szCs w:val="21"/>
          <w:highlight w:val="none"/>
        </w:rPr>
      </w:pPr>
      <w:r>
        <w:rPr>
          <w:rFonts w:hint="eastAsia" w:ascii="宋体" w:hAnsi="宋体" w:cs="宋体"/>
          <w:color w:val="auto"/>
          <w:sz w:val="21"/>
          <w:szCs w:val="21"/>
          <w:highlight w:val="none"/>
        </w:rPr>
        <w:t>同时出现两种以上不一致的，按照前款规定的顺序修正。修正后的报价应当采用书面形式，并加盖公章，或者由法定代表人（负责人）或其授权的代表签字确认后产生约束力，投标人不确认的，其投标无效。</w:t>
      </w:r>
      <w:bookmarkStart w:id="95" w:name="_Toc26186"/>
    </w:p>
    <w:p w14:paraId="6AB7973F">
      <w:pPr>
        <w:adjustRightInd w:val="0"/>
        <w:snapToGrid w:val="0"/>
        <w:spacing w:line="348" w:lineRule="auto"/>
        <w:ind w:firstLine="422" w:firstLineChars="200"/>
        <w:outlineLvl w:val="2"/>
        <w:rPr>
          <w:rFonts w:ascii="宋体" w:hAnsi="宋体" w:cs="宋体"/>
          <w:color w:val="auto"/>
          <w:sz w:val="21"/>
          <w:szCs w:val="21"/>
          <w:highlight w:val="none"/>
        </w:rPr>
      </w:pPr>
      <w:r>
        <w:rPr>
          <w:rFonts w:hint="eastAsia" w:ascii="宋体" w:hAnsi="宋体" w:cs="宋体"/>
          <w:b/>
          <w:bCs/>
          <w:color w:val="auto"/>
          <w:sz w:val="21"/>
          <w:szCs w:val="21"/>
          <w:highlight w:val="none"/>
        </w:rPr>
        <w:t>26.不允许偏离的实质性要求和条件</w:t>
      </w:r>
      <w:bookmarkEnd w:id="95"/>
    </w:p>
    <w:p w14:paraId="1C55C311">
      <w:pPr>
        <w:adjustRightInd w:val="0"/>
        <w:snapToGrid w:val="0"/>
        <w:spacing w:line="34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投标人不得通过修正或撤销不符合要求的偏离或保留从而使其投标成为实质上响应的投标。</w:t>
      </w:r>
    </w:p>
    <w:p w14:paraId="7EE07339">
      <w:pPr>
        <w:pStyle w:val="24"/>
        <w:adjustRightInd w:val="0"/>
        <w:snapToGrid w:val="0"/>
        <w:spacing w:before="0" w:beforeAutospacing="0" w:after="0" w:afterAutospacing="0" w:line="348" w:lineRule="auto"/>
        <w:ind w:firstLine="422" w:firstLineChars="200"/>
        <w:jc w:val="both"/>
        <w:rPr>
          <w:b/>
          <w:bCs/>
          <w:color w:val="auto"/>
          <w:sz w:val="21"/>
          <w:szCs w:val="21"/>
          <w:highlight w:val="none"/>
        </w:rPr>
      </w:pPr>
      <w:bookmarkStart w:id="96" w:name="_Toc32142"/>
      <w:r>
        <w:rPr>
          <w:rFonts w:hint="eastAsia"/>
          <w:b/>
          <w:bCs/>
          <w:color w:val="auto"/>
          <w:sz w:val="21"/>
          <w:szCs w:val="21"/>
          <w:highlight w:val="none"/>
        </w:rPr>
        <w:t>27.评标办法</w:t>
      </w:r>
      <w:bookmarkEnd w:id="96"/>
    </w:p>
    <w:p w14:paraId="303F4C80">
      <w:pPr>
        <w:pStyle w:val="24"/>
        <w:adjustRightInd w:val="0"/>
        <w:snapToGrid w:val="0"/>
        <w:spacing w:before="0" w:beforeAutospacing="0" w:after="0" w:afterAutospacing="0" w:line="348" w:lineRule="auto"/>
        <w:ind w:firstLine="420" w:firstLineChars="200"/>
        <w:jc w:val="both"/>
        <w:rPr>
          <w:color w:val="auto"/>
          <w:sz w:val="21"/>
          <w:szCs w:val="21"/>
          <w:highlight w:val="none"/>
        </w:rPr>
      </w:pPr>
      <w:r>
        <w:rPr>
          <w:rFonts w:hint="eastAsia"/>
          <w:color w:val="auto"/>
          <w:sz w:val="21"/>
          <w:szCs w:val="21"/>
          <w:highlight w:val="none"/>
        </w:rPr>
        <w:t>评标委员会应当按照招标文件中规定的评标方法和标准，对符合性审查合格的投标文件进行商务和技术评估，综合比较与评价。</w:t>
      </w:r>
    </w:p>
    <w:p w14:paraId="62734BB0">
      <w:pPr>
        <w:pStyle w:val="24"/>
        <w:adjustRightInd w:val="0"/>
        <w:snapToGrid w:val="0"/>
        <w:spacing w:before="0" w:beforeAutospacing="0" w:after="0" w:afterAutospacing="0" w:line="348" w:lineRule="auto"/>
        <w:ind w:firstLine="420" w:firstLineChars="200"/>
        <w:jc w:val="both"/>
        <w:rPr>
          <w:color w:val="auto"/>
          <w:sz w:val="21"/>
          <w:szCs w:val="21"/>
          <w:highlight w:val="none"/>
        </w:rPr>
      </w:pPr>
      <w:bookmarkStart w:id="97" w:name="_Toc3398"/>
      <w:bookmarkStart w:id="98" w:name="_Toc21644"/>
      <w:bookmarkStart w:id="99" w:name="_Toc27815"/>
      <w:r>
        <w:rPr>
          <w:rFonts w:hint="eastAsia"/>
          <w:color w:val="auto"/>
          <w:sz w:val="21"/>
          <w:szCs w:val="21"/>
          <w:highlight w:val="none"/>
        </w:rPr>
        <w:t xml:space="preserve">27.1  </w:t>
      </w:r>
      <w:bookmarkEnd w:id="97"/>
      <w:bookmarkEnd w:id="98"/>
      <w:bookmarkEnd w:id="99"/>
      <w:r>
        <w:rPr>
          <w:rFonts w:hint="eastAsia"/>
          <w:color w:val="auto"/>
          <w:sz w:val="21"/>
          <w:szCs w:val="21"/>
          <w:highlight w:val="none"/>
        </w:rPr>
        <w:t>本项目采用</w:t>
      </w:r>
      <w:r>
        <w:rPr>
          <w:rFonts w:hint="eastAsia"/>
          <w:b/>
          <w:bCs/>
          <w:color w:val="auto"/>
          <w:sz w:val="21"/>
          <w:szCs w:val="21"/>
          <w:highlight w:val="none"/>
          <w:u w:val="single"/>
          <w:lang w:eastAsia="zh-CN"/>
        </w:rPr>
        <w:t>最低评标价法</w:t>
      </w:r>
      <w:r>
        <w:rPr>
          <w:rFonts w:hint="eastAsia"/>
          <w:color w:val="auto"/>
          <w:sz w:val="21"/>
          <w:szCs w:val="21"/>
          <w:highlight w:val="none"/>
        </w:rPr>
        <w:t>，投标文件满足招标文件全部实质性要求，且投标报价最低的投标人为中标候选人。评标结果按投标报价由低到高顺序排列。投标报价相同的并列。投标文件满足招标文件全部实质性要求且投标报价最低的投标人为排名第一的中标候选人。中标候选人并列的，由评标委员会采取随机抽取的方式确定排序。</w:t>
      </w:r>
    </w:p>
    <w:p w14:paraId="0C7E872C">
      <w:pPr>
        <w:pStyle w:val="24"/>
        <w:adjustRightInd w:val="0"/>
        <w:snapToGrid w:val="0"/>
        <w:spacing w:before="0" w:beforeAutospacing="0" w:after="0" w:afterAutospacing="0" w:line="348" w:lineRule="auto"/>
        <w:ind w:firstLine="422" w:firstLineChars="200"/>
        <w:jc w:val="both"/>
        <w:rPr>
          <w:rFonts w:hint="eastAsia"/>
          <w:b/>
          <w:bCs/>
          <w:color w:val="auto"/>
          <w:sz w:val="21"/>
          <w:szCs w:val="21"/>
          <w:highlight w:val="none"/>
        </w:rPr>
      </w:pPr>
      <w:bookmarkStart w:id="100" w:name="_Toc282179625"/>
      <w:bookmarkStart w:id="101" w:name="_Toc276449956"/>
      <w:r>
        <w:rPr>
          <w:rFonts w:hint="eastAsia"/>
          <w:b/>
          <w:bCs/>
          <w:color w:val="auto"/>
          <w:sz w:val="21"/>
          <w:szCs w:val="21"/>
          <w:highlight w:val="none"/>
        </w:rPr>
        <w:t>根据《中华人民共和国政府采购法实施条例》第四十九条规定，中标或者成交供应商拒绝与采购人签订合同的，采购人可以按评审报告推荐的中标候选人名单排序，确定下一候选人为中标供应商，也可以重新开展采购活动。采购活动或成交供应商不存在违法违规情形的，采购人可以根据采购项目的实际情况，综合考虑递补供应商的经济性和效率等因素，自主确定是否重新开展采购活动或确定下一候选人为中标供应商。</w:t>
      </w:r>
    </w:p>
    <w:bookmarkEnd w:id="100"/>
    <w:bookmarkEnd w:id="101"/>
    <w:p w14:paraId="6DED0D72">
      <w:pPr>
        <w:pStyle w:val="24"/>
        <w:adjustRightInd w:val="0"/>
        <w:snapToGrid w:val="0"/>
        <w:spacing w:beforeLines="25" w:beforeAutospacing="0" w:afterLines="25" w:afterAutospacing="0" w:line="240" w:lineRule="auto"/>
        <w:ind w:firstLine="422" w:firstLineChars="200"/>
        <w:jc w:val="both"/>
        <w:rPr>
          <w:rFonts w:hint="eastAsia" w:ascii="宋体" w:hAnsi="宋体" w:eastAsia="宋体" w:cs="宋体"/>
          <w:b/>
          <w:bCs/>
          <w:color w:val="auto"/>
          <w:sz w:val="21"/>
          <w:szCs w:val="21"/>
          <w:highlight w:val="none"/>
        </w:rPr>
      </w:pPr>
      <w:bookmarkStart w:id="102" w:name="_Toc15853"/>
      <w:r>
        <w:rPr>
          <w:rFonts w:hint="eastAsia" w:ascii="宋体" w:hAnsi="宋体" w:eastAsia="宋体" w:cs="宋体"/>
          <w:b/>
          <w:bCs/>
          <w:color w:val="auto"/>
          <w:sz w:val="21"/>
          <w:szCs w:val="21"/>
          <w:highlight w:val="none"/>
          <w:lang w:val="en-US" w:eastAsia="zh-CN"/>
        </w:rPr>
        <w:t>27.2</w:t>
      </w:r>
      <w:r>
        <w:rPr>
          <w:rFonts w:hint="eastAsia" w:ascii="宋体" w:hAnsi="宋体" w:eastAsia="宋体" w:cs="宋体"/>
          <w:b/>
          <w:bCs/>
          <w:color w:val="auto"/>
          <w:sz w:val="21"/>
          <w:szCs w:val="21"/>
          <w:highlight w:val="none"/>
        </w:rPr>
        <w:t xml:space="preserve"> 评标委员会启动异常低价投标审查的情形和具体要求，包括：</w:t>
      </w:r>
    </w:p>
    <w:p w14:paraId="35114125">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（一）评审过程中出现下列情形之一的，评审委员会应当启动异常低价投标（响应）审查程序：</w:t>
      </w:r>
    </w:p>
    <w:p w14:paraId="1E05D843">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1.投标（响应）报价低于全部通过符合性审查供应商投标（响应）报价平均值50%的，即投标（响应）报价&lt;全部通过符合性审查供应商投标（响应）报价平均值×50%；</w:t>
      </w:r>
    </w:p>
    <w:p w14:paraId="72D6401D">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2.投标（响应）报价低于通过符合性审查的次低报价供应商投标（响应）报价50%的，即投标（响应）报价&lt;通过符合性审查的次低报价供应商投标（响应）报价×50%；</w:t>
      </w:r>
    </w:p>
    <w:p w14:paraId="222041FA">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3.投标（响应）报价低于采购项目最高限价45%的，即投标（响应）报价&lt;采购项目最高限价×45%；</w:t>
      </w:r>
    </w:p>
    <w:p w14:paraId="23F29BD6">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4.评审委员会基于专业判断，认为供应商报价过低，有可能影响产品质量或者不能诚信履约的其他情形。</w:t>
      </w:r>
    </w:p>
    <w:p w14:paraId="7DAFC339">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67D4F7">
      <w:pPr>
        <w:pBdr>
          <w:top w:val="none" w:color="000000" w:sz="0" w:space="0"/>
          <w:left w:val="none" w:color="000000" w:sz="0" w:space="0"/>
          <w:bottom w:val="none" w:color="000000" w:sz="0" w:space="0"/>
          <w:right w:val="none" w:color="000000" w:sz="0" w:space="0"/>
        </w:pBdr>
        <w:spacing w:before="0" w:after="0" w:line="360" w:lineRule="auto"/>
        <w:ind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15A6A3">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E4CBC73">
      <w:pPr>
        <w:tabs>
          <w:tab w:val="left" w:pos="790"/>
          <w:tab w:val="left" w:pos="1422"/>
          <w:tab w:val="left" w:pos="1738"/>
        </w:tabs>
        <w:adjustRightInd w:val="0"/>
        <w:snapToGrid w:val="0"/>
        <w:spacing w:line="360" w:lineRule="auto"/>
        <w:ind w:firstLine="420" w:firstLineChars="200"/>
        <w:outlineLvl w:val="2"/>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color w:val="0000FF"/>
          <w:sz w:val="21"/>
          <w:szCs w:val="21"/>
          <w:highlight w:val="none"/>
          <w:lang w:eastAsia="zh-CN"/>
        </w:rPr>
        <w:t>。</w:t>
      </w:r>
    </w:p>
    <w:p w14:paraId="22E5E70F">
      <w:pPr>
        <w:tabs>
          <w:tab w:val="left" w:pos="790"/>
          <w:tab w:val="left" w:pos="1422"/>
          <w:tab w:val="left" w:pos="1738"/>
        </w:tabs>
        <w:adjustRightInd w:val="0"/>
        <w:snapToGrid w:val="0"/>
        <w:spacing w:line="360" w:lineRule="auto"/>
        <w:ind w:firstLine="422" w:firstLineChars="200"/>
        <w:outlineLvl w:val="2"/>
        <w:rPr>
          <w:rFonts w:ascii="宋体" w:hAnsi="宋体" w:cs="宋体"/>
          <w:b/>
          <w:bCs/>
          <w:color w:val="auto"/>
          <w:sz w:val="21"/>
          <w:szCs w:val="21"/>
          <w:highlight w:val="none"/>
        </w:rPr>
      </w:pPr>
      <w:r>
        <w:rPr>
          <w:rFonts w:hint="eastAsia" w:ascii="宋体" w:hAnsi="宋体" w:cs="宋体"/>
          <w:b/>
          <w:bCs/>
          <w:color w:val="auto"/>
          <w:sz w:val="21"/>
          <w:szCs w:val="21"/>
          <w:highlight w:val="none"/>
        </w:rPr>
        <w:t>28.评标报告</w:t>
      </w:r>
      <w:bookmarkEnd w:id="102"/>
    </w:p>
    <w:p w14:paraId="5C68918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评标委员会根据全体评标成员签字的原始评标记录和评标结果编写评标报告。评标报告应当包括以下内容：</w:t>
      </w:r>
    </w:p>
    <w:p w14:paraId="54F81CE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28.1  招标公告刊登的媒体名称、开标日期和地点；</w:t>
      </w:r>
    </w:p>
    <w:p w14:paraId="5E1E403D">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28.2  投标人名单和评标委员会成员名单；</w:t>
      </w:r>
    </w:p>
    <w:p w14:paraId="4B6DBFDB">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28.3  评标方法和标准；</w:t>
      </w:r>
    </w:p>
    <w:p w14:paraId="38813D0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28.4  开标记录和评标情况及说明，包括无效投标人名单及原因；</w:t>
      </w:r>
    </w:p>
    <w:p w14:paraId="11E4983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28.5  评标结果，确定的中标候选人名单或者经采购人委托直接确定的中标人；</w:t>
      </w:r>
    </w:p>
    <w:p w14:paraId="0E24549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28.6  其他需要说明的情况，包括评标过程中投标人根据评标委员会要求进行的澄清、说明或者补正，评标委员会成员的更换等。</w:t>
      </w:r>
    </w:p>
    <w:p w14:paraId="60FD32C0">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bookmarkStart w:id="103" w:name="_Toc24076"/>
      <w:r>
        <w:rPr>
          <w:rFonts w:hint="eastAsia"/>
          <w:b/>
          <w:bCs/>
          <w:color w:val="auto"/>
          <w:sz w:val="21"/>
          <w:szCs w:val="21"/>
          <w:highlight w:val="none"/>
        </w:rPr>
        <w:t>29.评标争议的处理</w:t>
      </w:r>
      <w:bookmarkEnd w:id="103"/>
    </w:p>
    <w:p w14:paraId="5B79A16B">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58A1BD2">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bookmarkStart w:id="104" w:name="_Toc30046"/>
      <w:r>
        <w:rPr>
          <w:rFonts w:hint="eastAsia"/>
          <w:b/>
          <w:bCs/>
          <w:color w:val="auto"/>
          <w:sz w:val="21"/>
          <w:szCs w:val="21"/>
          <w:highlight w:val="none"/>
        </w:rPr>
        <w:t>30.评标纪律</w:t>
      </w:r>
      <w:bookmarkEnd w:id="104"/>
    </w:p>
    <w:p w14:paraId="0C325AB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30.1  评标委员会及其成员不得有下列行为：</w:t>
      </w:r>
    </w:p>
    <w:p w14:paraId="1CF5210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（1）确定参与评标至评标结束前私自接触投标人；</w:t>
      </w:r>
    </w:p>
    <w:p w14:paraId="2257D8F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（2）接受投标人提出的不符合规定要求的澄清或者说明；</w:t>
      </w:r>
    </w:p>
    <w:p w14:paraId="0C5C771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（3）违反评标纪律发表倾向性意见或者征询采购人（采购代理机构）的倾向性意见；</w:t>
      </w:r>
    </w:p>
    <w:p w14:paraId="3E584A3B">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（4）对需要专业判断的主观评审因素协商评分；</w:t>
      </w:r>
    </w:p>
    <w:p w14:paraId="27F160E5">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（5）在评标过程中擅离职守，影响评标程序正常进行的；</w:t>
      </w:r>
    </w:p>
    <w:p w14:paraId="68A1836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（6）记录、复制或者带走任何评标资料；</w:t>
      </w:r>
    </w:p>
    <w:p w14:paraId="079641D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（7）其他不遵守评标纪律的行为。</w:t>
      </w:r>
    </w:p>
    <w:p w14:paraId="0CB0024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评标委员会成员有前款第一至五项行为之一的，其评审意见无效。</w:t>
      </w:r>
    </w:p>
    <w:p w14:paraId="3B33FDD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30.2  除采购人代表、评标现场组织人员外，采购人的其他工作人员以及与评标工作无关的人员不得进入评标现场。</w:t>
      </w:r>
    </w:p>
    <w:p w14:paraId="4E4D031F">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30.3  有关人员对评标情况以及在评标过程中获悉的国家秘密、商业秘密负有保密责任。</w:t>
      </w:r>
    </w:p>
    <w:p w14:paraId="7B55D7FF">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bookmarkStart w:id="105" w:name="_Toc4807"/>
      <w:r>
        <w:rPr>
          <w:rFonts w:hint="eastAsia"/>
          <w:b/>
          <w:bCs/>
          <w:color w:val="auto"/>
          <w:sz w:val="21"/>
          <w:szCs w:val="21"/>
          <w:highlight w:val="none"/>
        </w:rPr>
        <w:t>31.评标结果修改</w:t>
      </w:r>
      <w:bookmarkEnd w:id="105"/>
    </w:p>
    <w:p w14:paraId="2F8E228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评标结果汇总完成后，除下列情形外，任何人不得修改评标结果：</w:t>
      </w:r>
    </w:p>
    <w:p w14:paraId="5EFE916B">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31.1  分值汇总计算错误的；</w:t>
      </w:r>
    </w:p>
    <w:p w14:paraId="4184E551">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31.2  分项评分超出评分标准范围的；</w:t>
      </w:r>
    </w:p>
    <w:p w14:paraId="7A2FC853">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31.3  评标委员会成员对客观评审因素评分不一致的；</w:t>
      </w:r>
    </w:p>
    <w:p w14:paraId="7D6713C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31.4  经评标委员会认定评分畸高、畸低的。</w:t>
      </w:r>
    </w:p>
    <w:p w14:paraId="686B0E0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监督部门。</w:t>
      </w:r>
    </w:p>
    <w:p w14:paraId="30F12F5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投标人对本条第一款情形提出质疑的，采购人或者采购代理机构可以组织原评标委员会进行重新评审，重新评审改变评标结果的，应当书面报告监督部门。</w:t>
      </w:r>
    </w:p>
    <w:p w14:paraId="6A99F617">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bookmarkStart w:id="106" w:name="_Toc28956"/>
      <w:r>
        <w:rPr>
          <w:rFonts w:hint="eastAsia"/>
          <w:b/>
          <w:bCs/>
          <w:color w:val="auto"/>
          <w:sz w:val="21"/>
          <w:szCs w:val="21"/>
          <w:highlight w:val="none"/>
        </w:rPr>
        <w:t>32.停止评标和重新招标</w:t>
      </w:r>
      <w:bookmarkEnd w:id="106"/>
    </w:p>
    <w:p w14:paraId="7DC1FAD5">
      <w:pPr>
        <w:pStyle w:val="24"/>
        <w:adjustRightInd w:val="0"/>
        <w:snapToGrid w:val="0"/>
        <w:spacing w:before="0" w:beforeAutospacing="0" w:after="0" w:afterAutospacing="0" w:line="360" w:lineRule="auto"/>
        <w:ind w:firstLine="420" w:firstLineChars="200"/>
        <w:jc w:val="both"/>
        <w:outlineLvl w:val="2"/>
        <w:rPr>
          <w:color w:val="auto"/>
          <w:sz w:val="21"/>
          <w:szCs w:val="21"/>
          <w:highlight w:val="none"/>
        </w:rPr>
      </w:pPr>
      <w:r>
        <w:rPr>
          <w:rFonts w:hint="eastAsia"/>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Start w:id="107" w:name="_Toc20576"/>
    </w:p>
    <w:p w14:paraId="2C221CCD">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r>
        <w:rPr>
          <w:rFonts w:hint="eastAsia"/>
          <w:b/>
          <w:bCs/>
          <w:color w:val="auto"/>
          <w:sz w:val="21"/>
          <w:szCs w:val="21"/>
          <w:highlight w:val="none"/>
        </w:rPr>
        <w:t>33.重新评标</w:t>
      </w:r>
      <w:bookmarkEnd w:id="107"/>
    </w:p>
    <w:p w14:paraId="2FED0AC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评标委员会或者其成员存在下列情形导致评标结果无效的，采购人或者采购代理机构可以重新组建评标委员会进行评标，并书面报告监督部门，但采购合同已经履行的除外：</w:t>
      </w:r>
    </w:p>
    <w:p w14:paraId="0210374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33.1  评标委员会组成不符合本办法规定的；</w:t>
      </w:r>
    </w:p>
    <w:p w14:paraId="5DDA43A1">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33.2  有《中华人民共和国财政部令第87号》第六十二条第一至五项情形的；</w:t>
      </w:r>
    </w:p>
    <w:p w14:paraId="412448CE">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33.3  评标委员会及其成员独立评标受到非法干预的；</w:t>
      </w:r>
    </w:p>
    <w:p w14:paraId="54433A25">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33.4  有政府采购法实施条例第七十五条规定的违法行为的。</w:t>
      </w:r>
    </w:p>
    <w:p w14:paraId="1021CED4">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有违法违规行为的原评标委员会成员不得参加重新组建的评标委员会。</w:t>
      </w:r>
    </w:p>
    <w:p w14:paraId="3DEF7BFE">
      <w:pPr>
        <w:adjustRightInd w:val="0"/>
        <w:snapToGrid w:val="0"/>
        <w:spacing w:line="360" w:lineRule="auto"/>
        <w:ind w:firstLine="422" w:firstLineChars="200"/>
        <w:outlineLvl w:val="2"/>
        <w:rPr>
          <w:rFonts w:ascii="宋体" w:hAnsi="宋体" w:cs="宋体"/>
          <w:b/>
          <w:bCs/>
          <w:color w:val="auto"/>
          <w:sz w:val="21"/>
          <w:szCs w:val="21"/>
          <w:highlight w:val="none"/>
        </w:rPr>
      </w:pPr>
      <w:bookmarkStart w:id="108" w:name="_Toc10745"/>
      <w:r>
        <w:rPr>
          <w:rFonts w:hint="eastAsia" w:ascii="宋体" w:hAnsi="宋体" w:cs="宋体"/>
          <w:b/>
          <w:bCs/>
          <w:color w:val="auto"/>
          <w:sz w:val="21"/>
          <w:szCs w:val="21"/>
          <w:highlight w:val="none"/>
        </w:rPr>
        <w:t>34.投标纪律</w:t>
      </w:r>
      <w:bookmarkEnd w:id="108"/>
    </w:p>
    <w:p w14:paraId="56A92C7C">
      <w:pPr>
        <w:adjustRightInd w:val="0"/>
        <w:snapToGrid w:val="0"/>
        <w:spacing w:line="360" w:lineRule="auto"/>
        <w:ind w:firstLine="420"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投标人应遵守招标投标活动相关规定，在评标期间，投标人试图影响采购人或采购代理机构和评标委员会的任何活动，将导致其投标被拒绝，并承担相应的法律责任。</w:t>
      </w:r>
      <w:bookmarkStart w:id="109" w:name="_Toc30328"/>
      <w:bookmarkStart w:id="110" w:name="_Toc24850"/>
      <w:bookmarkStart w:id="111" w:name="_Toc1890"/>
      <w:bookmarkStart w:id="112" w:name="_Toc15228"/>
    </w:p>
    <w:p w14:paraId="31504F45">
      <w:pPr>
        <w:spacing w:beforeLines="25" w:afterLines="25"/>
        <w:jc w:val="center"/>
        <w:outlineLvl w:val="1"/>
        <w:rPr>
          <w:rFonts w:ascii="宋体" w:hAnsi="宋体" w:cs="宋体"/>
          <w:b/>
          <w:bCs/>
          <w:color w:val="auto"/>
          <w:sz w:val="28"/>
          <w:szCs w:val="28"/>
          <w:highlight w:val="none"/>
        </w:rPr>
      </w:pPr>
      <w:bookmarkStart w:id="113" w:name="_Toc31898"/>
      <w:r>
        <w:rPr>
          <w:rFonts w:hint="eastAsia" w:ascii="宋体" w:hAnsi="宋体" w:cs="宋体"/>
          <w:b/>
          <w:bCs/>
          <w:color w:val="auto"/>
          <w:sz w:val="28"/>
          <w:szCs w:val="28"/>
          <w:highlight w:val="none"/>
        </w:rPr>
        <w:t>八、中标和合同</w:t>
      </w:r>
      <w:bookmarkEnd w:id="109"/>
      <w:bookmarkEnd w:id="110"/>
      <w:bookmarkEnd w:id="111"/>
      <w:bookmarkEnd w:id="112"/>
      <w:bookmarkEnd w:id="113"/>
    </w:p>
    <w:p w14:paraId="1CD1D3C3">
      <w:pPr>
        <w:adjustRightInd w:val="0"/>
        <w:snapToGrid w:val="0"/>
        <w:spacing w:line="360" w:lineRule="auto"/>
        <w:ind w:firstLine="422" w:firstLineChars="200"/>
        <w:outlineLvl w:val="2"/>
        <w:rPr>
          <w:rFonts w:ascii="宋体" w:hAnsi="宋体" w:cs="宋体"/>
          <w:b/>
          <w:bCs/>
          <w:color w:val="auto"/>
          <w:sz w:val="21"/>
          <w:szCs w:val="21"/>
          <w:highlight w:val="none"/>
        </w:rPr>
      </w:pPr>
      <w:bookmarkStart w:id="114" w:name="_Toc16937"/>
      <w:r>
        <w:rPr>
          <w:rFonts w:hint="eastAsia" w:ascii="宋体" w:hAnsi="宋体" w:cs="宋体"/>
          <w:b/>
          <w:bCs/>
          <w:color w:val="auto"/>
          <w:sz w:val="21"/>
          <w:szCs w:val="21"/>
          <w:highlight w:val="none"/>
        </w:rPr>
        <w:t>35.公告中标结果</w:t>
      </w:r>
      <w:bookmarkEnd w:id="114"/>
    </w:p>
    <w:p w14:paraId="4492EE5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35.1  采购人或者采购代理机构应当自中标人确定之日起2个工作日内，在“响水县人民政府网-招投标信息-国企采购-中标公告栏”公告中标结果。</w:t>
      </w:r>
    </w:p>
    <w:p w14:paraId="4A2F255A">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35.2  中标公告期限为1个工作日。</w:t>
      </w:r>
    </w:p>
    <w:p w14:paraId="2F258A16">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35.3  若有充分证据证明，中标人出现下列情况之一的，一经查实，将被取消中标资格：</w:t>
      </w:r>
    </w:p>
    <w:p w14:paraId="49871D50">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（1）提供虚假材料谋取成交的；</w:t>
      </w:r>
    </w:p>
    <w:p w14:paraId="378EFA8C">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（2）与评审专家、采购人、其他投标人或者代理机构工作人员恶意串通的；</w:t>
      </w:r>
    </w:p>
    <w:p w14:paraId="62DB7BC8">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（3）向评审专家、采购人或代理机构工作人员行贿或者提供其他不正当利益的；</w:t>
      </w:r>
    </w:p>
    <w:p w14:paraId="0A369349">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（4）恶意竞争，报价明显低于其自身合理成本且又无法提供证明的；</w:t>
      </w:r>
    </w:p>
    <w:p w14:paraId="24D743D9">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（5）中标后无正当理由拒不与采购人签订采购合同或者未按照招标文件确定的事项签订采购合同；</w:t>
      </w:r>
    </w:p>
    <w:p w14:paraId="0533F731">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（6）将采购合同转包；</w:t>
      </w:r>
    </w:p>
    <w:p w14:paraId="0916F826">
      <w:pPr>
        <w:pStyle w:val="24"/>
        <w:adjustRightInd w:val="0"/>
        <w:snapToGrid w:val="0"/>
        <w:spacing w:before="0" w:beforeAutospacing="0" w:after="0" w:afterAutospacing="0" w:line="360" w:lineRule="auto"/>
        <w:ind w:firstLine="420" w:firstLineChars="200"/>
        <w:jc w:val="both"/>
        <w:outlineLvl w:val="2"/>
        <w:rPr>
          <w:color w:val="auto"/>
          <w:sz w:val="21"/>
          <w:szCs w:val="21"/>
          <w:highlight w:val="none"/>
        </w:rPr>
      </w:pPr>
      <w:r>
        <w:rPr>
          <w:rFonts w:hint="eastAsia"/>
          <w:color w:val="auto"/>
          <w:sz w:val="21"/>
          <w:szCs w:val="21"/>
          <w:highlight w:val="none"/>
        </w:rPr>
        <w:t>（7）法律、法规、规章规定的属于成交无效的其他情形。</w:t>
      </w:r>
      <w:bookmarkStart w:id="115" w:name="_Toc12962"/>
    </w:p>
    <w:p w14:paraId="4A121C1C">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r>
        <w:rPr>
          <w:rFonts w:hint="eastAsia"/>
          <w:b/>
          <w:bCs/>
          <w:color w:val="auto"/>
          <w:sz w:val="21"/>
          <w:szCs w:val="21"/>
          <w:highlight w:val="none"/>
        </w:rPr>
        <w:t>36.中标通知书</w:t>
      </w:r>
      <w:bookmarkEnd w:id="115"/>
    </w:p>
    <w:p w14:paraId="2AEEE6E7">
      <w:pPr>
        <w:pStyle w:val="24"/>
        <w:adjustRightInd w:val="0"/>
        <w:snapToGrid w:val="0"/>
        <w:spacing w:before="0" w:beforeAutospacing="0" w:after="0" w:afterAutospacing="0" w:line="360" w:lineRule="auto"/>
        <w:ind w:firstLine="420" w:firstLineChars="200"/>
        <w:jc w:val="both"/>
        <w:rPr>
          <w:i/>
          <w:iCs/>
          <w:color w:val="auto"/>
          <w:sz w:val="21"/>
          <w:szCs w:val="21"/>
          <w:highlight w:val="none"/>
        </w:rPr>
      </w:pPr>
      <w:r>
        <w:rPr>
          <w:rFonts w:hint="eastAsia"/>
          <w:color w:val="auto"/>
          <w:sz w:val="21"/>
          <w:szCs w:val="21"/>
          <w:highlight w:val="none"/>
        </w:rPr>
        <w:t>公告中标结果结束无质疑（投诉）或者对质疑（投诉）事项处理结束中标人确定后，采购人或者采购代理机构应当向中标人发出中标通知书；对未通过资格审查的投标人，应当告知其未通过的原因。</w:t>
      </w:r>
    </w:p>
    <w:p w14:paraId="33B23743">
      <w:pPr>
        <w:pStyle w:val="24"/>
        <w:adjustRightInd w:val="0"/>
        <w:snapToGrid w:val="0"/>
        <w:spacing w:before="0" w:beforeAutospacing="0" w:after="0" w:afterAutospacing="0" w:line="360" w:lineRule="auto"/>
        <w:ind w:firstLine="422" w:firstLineChars="200"/>
        <w:jc w:val="both"/>
        <w:outlineLvl w:val="2"/>
        <w:rPr>
          <w:b/>
          <w:bCs/>
          <w:color w:val="auto"/>
          <w:sz w:val="21"/>
          <w:szCs w:val="21"/>
          <w:highlight w:val="none"/>
        </w:rPr>
      </w:pPr>
      <w:bookmarkStart w:id="116" w:name="_Toc31528"/>
      <w:r>
        <w:rPr>
          <w:rFonts w:hint="eastAsia"/>
          <w:b/>
          <w:bCs/>
          <w:color w:val="auto"/>
          <w:sz w:val="21"/>
          <w:szCs w:val="21"/>
          <w:highlight w:val="none"/>
        </w:rPr>
        <w:t>37.项目合同</w:t>
      </w:r>
      <w:bookmarkEnd w:id="116"/>
    </w:p>
    <w:p w14:paraId="126A7662">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37.1  中标通知书发出后，采购人不得违法改变中标结果，中标人无正当理由不得放弃中标。</w:t>
      </w:r>
    </w:p>
    <w:p w14:paraId="3832994D">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37.2  采购人应当自中标通知书发出之日起30日内，按照招标文件和中标人投标文件的规定，与中标人签订书面合同。所签订的合同不得对招标文件确定的事项和中标人投标文件作实质性修改。</w:t>
      </w:r>
    </w:p>
    <w:p w14:paraId="033A3EFF">
      <w:pPr>
        <w:pStyle w:val="24"/>
        <w:adjustRightInd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采购人不得向中标人提出任何不合理的要求作为签订合同的条件。</w:t>
      </w:r>
    </w:p>
    <w:p w14:paraId="6CF2B3DA">
      <w:pPr>
        <w:adjustRightInd w:val="0"/>
        <w:snapToGrid w:val="0"/>
        <w:spacing w:line="360" w:lineRule="auto"/>
        <w:ind w:firstLine="422" w:firstLineChars="200"/>
        <w:outlineLvl w:val="2"/>
        <w:rPr>
          <w:rFonts w:ascii="宋体" w:hAnsi="宋体" w:cs="宋体"/>
          <w:b/>
          <w:color w:val="auto"/>
          <w:sz w:val="21"/>
          <w:szCs w:val="21"/>
          <w:highlight w:val="none"/>
        </w:rPr>
      </w:pPr>
      <w:bookmarkStart w:id="117" w:name="_Toc3910"/>
      <w:r>
        <w:rPr>
          <w:rFonts w:hint="eastAsia" w:ascii="宋体" w:hAnsi="宋体" w:cs="宋体"/>
          <w:b/>
          <w:color w:val="auto"/>
          <w:sz w:val="21"/>
          <w:szCs w:val="21"/>
          <w:highlight w:val="none"/>
        </w:rPr>
        <w:t>38.质疑处理</w:t>
      </w:r>
      <w:bookmarkEnd w:id="117"/>
    </w:p>
    <w:p w14:paraId="6252ADDC">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38.1  对质疑事项，投标人参照采购法及其条例等法律法规规定进行。</w:t>
      </w:r>
    </w:p>
    <w:p w14:paraId="1E9D77CA">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38.2  质疑须以书面送达形式向采购人提出。非书面送达形式、逾期（以采购人或代理机构收悉时间为准）提交以及匿名的质疑将不予受理。已参加开标的投标供应商不得就采购文件内容提出质疑。</w:t>
      </w:r>
    </w:p>
    <w:p w14:paraId="35B7CE98">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38.3  质疑必须有参加投标供应商法定代表人（负责人）或授权代表（投标文件中所确定的）签字，并加盖投标人公章，以书面送达的方式提交。未按上述要求提交的质疑函（含传真、电子邮件等非书面送达方式）采购人有权不予受理。</w:t>
      </w:r>
    </w:p>
    <w:p w14:paraId="0E1CB823">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38.4  未参加投标的供应商（未报名或未参加投标）或在投标活动中本身权益未受到损害或从投标活动中受益的供应商所提出的质疑也不予受理。</w:t>
      </w:r>
    </w:p>
    <w:p w14:paraId="4F2227A1">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38.5  供应商提出质疑，应当采取书面送达形式，在法定时间内向采购人提交质疑函，质疑函应当包括下列内容：</w:t>
      </w:r>
    </w:p>
    <w:p w14:paraId="397A63D9">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（一）质疑供应商的名称、地址、邮编、联系人、联系电话；</w:t>
      </w:r>
    </w:p>
    <w:p w14:paraId="1738CFC6">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（二）具体的质疑事项及事实根据；</w:t>
      </w:r>
    </w:p>
    <w:p w14:paraId="35BA5995">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（三）认为自己合法权益受到损害或可能受到损害的相关证据材料；</w:t>
      </w:r>
    </w:p>
    <w:p w14:paraId="337A3D32">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（四）提起质疑的日期；</w:t>
      </w:r>
    </w:p>
    <w:p w14:paraId="49DFA83D">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（五）质疑函应当署名：质疑人为自然人的，应当由本人签字并附有效身份证明；质疑人为法人或其他组织的，应当由法定代表人（负责人）签字并加盖单位公章。</w:t>
      </w:r>
    </w:p>
    <w:p w14:paraId="24318E13">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供应商委托代理质疑的，应当向被质疑人提交授权委托书，并载明委托代理的具体权限和事项。</w:t>
      </w:r>
    </w:p>
    <w:p w14:paraId="77E94B6F">
      <w:pPr>
        <w:adjustRightInd w:val="0"/>
        <w:snapToGrid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38.6  供应商提出书面质疑必须有理、有据，不得恶意质疑或提交虚假质疑。供应商恶意质疑或提交虚假质疑的，情节严重的，报请监督管理部门对该供应商进行相应的行政处罚，并保留诉讼的权利。</w:t>
      </w:r>
    </w:p>
    <w:p w14:paraId="291D2E1A">
      <w:pPr>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38.7  采购人或采购代理机构将在法律法规等规定期限内对询问或质疑作出答复。对采购人或采购代理机构的质疑答复不满意，或者采购人或采购代理机构未在规定期限内作出答复的，投标人应在法律法规等规定期限内向同级监督部门提起投诉。</w:t>
      </w:r>
    </w:p>
    <w:p w14:paraId="56056FBC">
      <w:pPr>
        <w:adjustRightInd w:val="0"/>
        <w:snapToGrid w:val="0"/>
        <w:spacing w:line="360" w:lineRule="auto"/>
        <w:ind w:firstLine="422" w:firstLineChars="200"/>
        <w:outlineLvl w:val="2"/>
        <w:rPr>
          <w:rFonts w:ascii="宋体" w:hAnsi="宋体" w:cs="宋体"/>
          <w:b/>
          <w:color w:val="auto"/>
          <w:sz w:val="21"/>
          <w:szCs w:val="21"/>
          <w:highlight w:val="none"/>
        </w:rPr>
      </w:pPr>
      <w:bookmarkStart w:id="118" w:name="_Toc2188"/>
      <w:r>
        <w:rPr>
          <w:rFonts w:hint="eastAsia" w:ascii="宋体" w:hAnsi="宋体" w:cs="宋体"/>
          <w:b/>
          <w:color w:val="auto"/>
          <w:sz w:val="21"/>
          <w:szCs w:val="21"/>
          <w:highlight w:val="none"/>
        </w:rPr>
        <w:t>39.质疑和投诉</w:t>
      </w:r>
      <w:bookmarkEnd w:id="118"/>
    </w:p>
    <w:p w14:paraId="255FD5E9">
      <w:pPr>
        <w:pStyle w:val="24"/>
        <w:adjustRightInd w:val="0"/>
        <w:snapToGrid w:val="0"/>
        <w:spacing w:before="79" w:beforeLines="25" w:beforeAutospacing="0" w:after="79" w:afterLines="25" w:afterAutospacing="0" w:line="400" w:lineRule="exact"/>
        <w:ind w:firstLine="420" w:firstLineChars="200"/>
        <w:jc w:val="both"/>
        <w:rPr>
          <w:rFonts w:hint="default" w:ascii="宋体" w:hAnsi="宋体" w:eastAsia="宋体" w:cs="宋体"/>
          <w:color w:val="auto"/>
          <w:sz w:val="21"/>
          <w:szCs w:val="21"/>
          <w:highlight w:val="none"/>
          <w:lang w:val="en-US" w:eastAsia="zh-CN"/>
        </w:rPr>
      </w:pPr>
      <w:bookmarkStart w:id="119" w:name="_Toc16329"/>
      <w:r>
        <w:rPr>
          <w:rFonts w:hint="eastAsia" w:ascii="宋体" w:hAnsi="宋体" w:eastAsia="宋体" w:cs="宋体"/>
          <w:color w:val="auto"/>
          <w:sz w:val="21"/>
          <w:szCs w:val="21"/>
          <w:highlight w:val="none"/>
        </w:rPr>
        <w:t>本项目为国有企业采购货物项目，不适用《中华人民共和国政府采购法》等政府采购相关法律法规。为便于本项目的顺利实施，采购人比照《中华人民共和国政府采购法》等有关规定开展采购活动。如</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对本项目提出质疑或提起投诉的，请与采购人、代理公司或采购人主管部门联系处理。响水县公共资源交易中心仅提供发布信息、场地等服务，不负责处理相关质疑、投诉事项。</w:t>
      </w:r>
    </w:p>
    <w:p w14:paraId="7C83665B">
      <w:pPr>
        <w:adjustRightInd w:val="0"/>
        <w:snapToGrid w:val="0"/>
        <w:spacing w:line="360" w:lineRule="auto"/>
        <w:ind w:firstLine="422" w:firstLineChars="200"/>
        <w:outlineLvl w:val="2"/>
        <w:rPr>
          <w:rFonts w:ascii="宋体" w:hAnsi="宋体" w:cs="宋体"/>
          <w:b/>
          <w:bCs/>
          <w:color w:val="auto"/>
          <w:sz w:val="21"/>
          <w:szCs w:val="21"/>
          <w:highlight w:val="none"/>
        </w:rPr>
      </w:pPr>
      <w:r>
        <w:rPr>
          <w:rFonts w:hint="eastAsia" w:ascii="宋体" w:hAnsi="宋体" w:cs="宋体"/>
          <w:b/>
          <w:bCs/>
          <w:color w:val="auto"/>
          <w:sz w:val="21"/>
          <w:szCs w:val="21"/>
          <w:highlight w:val="none"/>
        </w:rPr>
        <w:t>40.监督部门</w:t>
      </w:r>
      <w:bookmarkEnd w:id="119"/>
    </w:p>
    <w:p w14:paraId="751D4F65">
      <w:pPr>
        <w:pStyle w:val="24"/>
        <w:adjustRightInd w:val="0"/>
        <w:snapToGrid w:val="0"/>
        <w:spacing w:before="0" w:beforeAutospacing="0" w:after="0" w:afterAutospacing="0" w:line="360" w:lineRule="auto"/>
        <w:ind w:firstLine="420" w:firstLineChars="200"/>
        <w:jc w:val="both"/>
        <w:rPr>
          <w:color w:val="auto"/>
          <w:sz w:val="21"/>
          <w:szCs w:val="21"/>
          <w:highlight w:val="none"/>
        </w:rPr>
        <w:sectPr>
          <w:pgSz w:w="11906" w:h="16838"/>
          <w:pgMar w:top="1440" w:right="1440" w:bottom="1440" w:left="1440" w:header="851" w:footer="686" w:gutter="0"/>
          <w:pgNumType w:fmt="decimal"/>
          <w:cols w:space="0" w:num="1"/>
          <w:docGrid w:type="lines" w:linePitch="317" w:charSpace="0"/>
        </w:sectPr>
      </w:pPr>
      <w:r>
        <w:rPr>
          <w:rFonts w:hint="eastAsia"/>
          <w:color w:val="auto"/>
          <w:sz w:val="21"/>
          <w:szCs w:val="21"/>
          <w:highlight w:val="none"/>
        </w:rPr>
        <w:t>监督部门：响水县人民政府国有资产监督管理办公室，联系电话：0515-8688357</w:t>
      </w:r>
      <w:bookmarkStart w:id="120" w:name="_Toc19528"/>
      <w:bookmarkStart w:id="121" w:name="_Toc16667"/>
      <w:bookmarkStart w:id="122" w:name="_Toc120614220"/>
      <w:bookmarkStart w:id="123" w:name="_Toc20823308"/>
      <w:bookmarkStart w:id="124" w:name="_Toc16938552"/>
      <w:bookmarkStart w:id="125" w:name="_Toc513029236"/>
      <w:r>
        <w:rPr>
          <w:rFonts w:hint="eastAsia"/>
          <w:color w:val="auto"/>
          <w:sz w:val="21"/>
          <w:szCs w:val="21"/>
          <w:highlight w:val="none"/>
        </w:rPr>
        <w:t>0</w:t>
      </w:r>
    </w:p>
    <w:p w14:paraId="2AB70FDB">
      <w:pPr>
        <w:keepNext w:val="0"/>
        <w:keepLines w:val="0"/>
        <w:pageBreakBefore w:val="0"/>
        <w:widowControl w:val="0"/>
        <w:kinsoku/>
        <w:wordWrap/>
        <w:overflowPunct/>
        <w:topLinePunct w:val="0"/>
        <w:bidi w:val="0"/>
        <w:spacing w:beforeLines="25" w:afterLines="25" w:line="440" w:lineRule="exact"/>
        <w:jc w:val="center"/>
        <w:textAlignment w:val="auto"/>
        <w:outlineLvl w:val="0"/>
        <w:rPr>
          <w:rFonts w:ascii="宋体" w:hAnsi="宋体" w:cs="宋体"/>
          <w:b/>
          <w:color w:val="auto"/>
          <w:sz w:val="44"/>
          <w:szCs w:val="44"/>
          <w:highlight w:val="none"/>
        </w:rPr>
      </w:pPr>
      <w:bookmarkStart w:id="126" w:name="_Toc20442"/>
      <w:bookmarkStart w:id="127" w:name="_Toc16302"/>
      <w:bookmarkStart w:id="128" w:name="_Toc11454"/>
      <w:bookmarkStart w:id="129" w:name="_Toc19379"/>
      <w:r>
        <w:rPr>
          <w:rFonts w:hint="eastAsia" w:ascii="宋体" w:hAnsi="宋体" w:cs="宋体"/>
          <w:b/>
          <w:color w:val="auto"/>
          <w:sz w:val="44"/>
          <w:szCs w:val="44"/>
          <w:highlight w:val="none"/>
        </w:rPr>
        <w:t>第三章 项目需求</w:t>
      </w:r>
      <w:bookmarkEnd w:id="120"/>
      <w:bookmarkEnd w:id="121"/>
      <w:bookmarkEnd w:id="126"/>
      <w:bookmarkEnd w:id="127"/>
      <w:bookmarkEnd w:id="128"/>
      <w:bookmarkEnd w:id="129"/>
    </w:p>
    <w:bookmarkEnd w:id="122"/>
    <w:bookmarkEnd w:id="123"/>
    <w:bookmarkEnd w:id="124"/>
    <w:bookmarkEnd w:id="125"/>
    <w:p w14:paraId="5EE61C19">
      <w:pPr>
        <w:keepNext w:val="0"/>
        <w:keepLines w:val="0"/>
        <w:pageBreakBefore w:val="0"/>
        <w:widowControl w:val="0"/>
        <w:kinsoku/>
        <w:wordWrap/>
        <w:overflowPunct/>
        <w:topLinePunct w:val="0"/>
        <w:bidi w:val="0"/>
        <w:snapToGrid/>
        <w:spacing w:line="440" w:lineRule="exact"/>
        <w:textAlignment w:val="auto"/>
        <w:rPr>
          <w:rFonts w:ascii="宋体" w:hAnsi="宋体" w:cs="宋体"/>
          <w:b/>
          <w:bCs/>
          <w:highlight w:val="none"/>
        </w:rPr>
      </w:pPr>
      <w:bookmarkStart w:id="130" w:name="_Toc21364"/>
      <w:bookmarkStart w:id="131" w:name="_Toc10381"/>
      <w:bookmarkStart w:id="132" w:name="_Toc9794"/>
      <w:bookmarkStart w:id="133" w:name="_Toc830"/>
      <w:bookmarkStart w:id="134" w:name="_Toc17465"/>
      <w:bookmarkStart w:id="135" w:name="_Toc4275"/>
      <w:r>
        <w:rPr>
          <w:rFonts w:ascii="宋体" w:hAnsi="宋体" w:eastAsia="宋体" w:cs="宋体"/>
          <w:b/>
          <w:bCs/>
          <w:highlight w:val="none"/>
        </w:rPr>
        <w:t>一</w:t>
      </w:r>
      <w:r>
        <w:rPr>
          <w:rFonts w:ascii="宋体" w:hAnsi="宋体" w:cs="宋体"/>
          <w:b/>
          <w:bCs/>
          <w:highlight w:val="none"/>
        </w:rPr>
        <w:t>、采购内容</w:t>
      </w:r>
    </w:p>
    <w:p w14:paraId="5BD52A78">
      <w:pPr>
        <w:keepNext w:val="0"/>
        <w:keepLines w:val="0"/>
        <w:pageBreakBefore w:val="0"/>
        <w:widowControl w:val="0"/>
        <w:kinsoku/>
        <w:wordWrap/>
        <w:overflowPunct/>
        <w:topLinePunct w:val="0"/>
        <w:bidi w:val="0"/>
        <w:snapToGrid/>
        <w:spacing w:line="440" w:lineRule="exact"/>
        <w:ind w:firstLine="480"/>
        <w:jc w:val="left"/>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bookmarkStart w:id="136" w:name="_Hlk137586064"/>
      <w:r>
        <w:rPr>
          <w:rFonts w:ascii="宋体" w:hAnsi="宋体" w:cs="宋体"/>
          <w:color w:val="000000" w:themeColor="text1"/>
          <w:highlight w:val="none"/>
          <w14:textFill>
            <w14:solidFill>
              <w14:schemeClr w14:val="tx1"/>
            </w14:solidFill>
          </w14:textFill>
        </w:rPr>
        <w:t>根据《中华人民共和国环境保护法》《中华人民共和国固体废物污染环境防治法》《危险废物转移联单管理办法》等法律、法规以及规章的规定，就</w:t>
      </w:r>
      <w:r>
        <w:rPr>
          <w:rFonts w:hint="eastAsia" w:ascii="宋体" w:hAnsi="宋体" w:cs="宋体"/>
          <w:color w:val="000000" w:themeColor="text1"/>
          <w:sz w:val="21"/>
          <w:szCs w:val="21"/>
          <w:highlight w:val="none"/>
          <w:lang w:eastAsia="zh-CN"/>
          <w14:textFill>
            <w14:solidFill>
              <w14:schemeClr w14:val="tx1"/>
            </w14:solidFill>
          </w14:textFill>
        </w:rPr>
        <w:t>响水县羽清污水处理有限公司</w:t>
      </w:r>
      <w:r>
        <w:rPr>
          <w:rFonts w:ascii="宋体" w:hAnsi="宋体" w:cs="宋体"/>
          <w:color w:val="000000" w:themeColor="text1"/>
          <w:highlight w:val="none"/>
          <w14:textFill>
            <w14:solidFill>
              <w14:schemeClr w14:val="tx1"/>
            </w14:solidFill>
          </w14:textFill>
        </w:rPr>
        <w:t>在生产和其他活动中产生的</w:t>
      </w:r>
      <w:r>
        <w:rPr>
          <w:rFonts w:hint="eastAsia" w:ascii="宋体" w:hAnsi="宋体" w:cs="宋体"/>
          <w:color w:val="000000" w:themeColor="text1"/>
          <w:highlight w:val="none"/>
          <w:lang w:val="en-US" w:eastAsia="zh-CN"/>
          <w14:textFill>
            <w14:solidFill>
              <w14:schemeClr w14:val="tx1"/>
            </w14:solidFill>
          </w14:textFill>
        </w:rPr>
        <w:t>危废-物化污泥</w:t>
      </w:r>
      <w:r>
        <w:rPr>
          <w:rFonts w:hint="eastAsia" w:ascii="宋体" w:hAnsi="宋体" w:cs="宋体"/>
          <w:color w:val="000000" w:themeColor="text1"/>
          <w:sz w:val="21"/>
          <w:szCs w:val="21"/>
          <w:highlight w:val="none"/>
          <w14:textFill>
            <w14:solidFill>
              <w14:schemeClr w14:val="tx1"/>
            </w14:solidFill>
          </w14:textFill>
        </w:rPr>
        <w:t>（废物</w:t>
      </w:r>
      <w:r>
        <w:rPr>
          <w:rFonts w:hint="eastAsia" w:ascii="宋体" w:hAnsi="宋体" w:cs="宋体"/>
          <w:color w:val="000000" w:themeColor="text1"/>
          <w:sz w:val="21"/>
          <w:szCs w:val="21"/>
          <w:highlight w:val="none"/>
          <w:lang w:eastAsia="zh-CN"/>
          <w14:textFill>
            <w14:solidFill>
              <w14:schemeClr w14:val="tx1"/>
            </w14:solidFill>
          </w14:textFill>
        </w:rPr>
        <w:t>类别</w:t>
      </w:r>
      <w:r>
        <w:rPr>
          <w:rFonts w:hint="eastAsia" w:ascii="宋体" w:hAnsi="宋体" w:cs="宋体"/>
          <w:color w:val="000000" w:themeColor="text1"/>
          <w:sz w:val="21"/>
          <w:szCs w:val="21"/>
          <w:highlight w:val="none"/>
          <w14:textFill>
            <w14:solidFill>
              <w14:schemeClr w14:val="tx1"/>
            </w14:solidFill>
          </w14:textFill>
        </w:rPr>
        <w:t>：HW</w:t>
      </w:r>
      <w:r>
        <w:rPr>
          <w:rFonts w:hint="eastAsia" w:ascii="宋体" w:hAnsi="宋体" w:cs="宋体"/>
          <w:color w:val="000000" w:themeColor="text1"/>
          <w:sz w:val="21"/>
          <w:szCs w:val="21"/>
          <w:highlight w:val="none"/>
          <w:lang w:val="en-US" w:eastAsia="zh-CN"/>
          <w14:textFill>
            <w14:solidFill>
              <w14:schemeClr w14:val="tx1"/>
            </w14:solidFill>
          </w14:textFill>
        </w:rPr>
        <w:t>49</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代码：</w:t>
      </w:r>
      <w:r>
        <w:rPr>
          <w:rFonts w:hint="eastAsia" w:ascii="宋体" w:hAnsi="宋体" w:eastAsia="宋体"/>
          <w:color w:val="000000" w:themeColor="text1"/>
          <w:sz w:val="21"/>
          <w:szCs w:val="21"/>
          <w:highlight w:val="none"/>
          <w:lang w:val="en-US" w:eastAsia="zh-CN"/>
          <w14:textFill>
            <w14:solidFill>
              <w14:schemeClr w14:val="tx1"/>
            </w14:solidFill>
          </w14:textFill>
        </w:rPr>
        <w:t>772</w:t>
      </w:r>
      <w:r>
        <w:rPr>
          <w:rFonts w:ascii="宋体" w:hAnsi="宋体" w:eastAsia="宋体"/>
          <w:color w:val="000000" w:themeColor="text1"/>
          <w:sz w:val="21"/>
          <w:szCs w:val="21"/>
          <w:highlight w:val="none"/>
          <w14:textFill>
            <w14:solidFill>
              <w14:schemeClr w14:val="tx1"/>
            </w14:solidFill>
          </w14:textFill>
        </w:rPr>
        <w:t>-00</w:t>
      </w:r>
      <w:r>
        <w:rPr>
          <w:rFonts w:hint="eastAsia" w:ascii="宋体" w:hAnsi="宋体" w:eastAsia="宋体"/>
          <w:color w:val="000000" w:themeColor="text1"/>
          <w:sz w:val="21"/>
          <w:szCs w:val="21"/>
          <w:highlight w:val="none"/>
          <w:lang w:val="en-US" w:eastAsia="zh-CN"/>
          <w14:textFill>
            <w14:solidFill>
              <w14:schemeClr w14:val="tx1"/>
            </w14:solidFill>
          </w14:textFill>
        </w:rPr>
        <w:t>6</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49</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采购有资质处置单位</w:t>
      </w:r>
      <w:r>
        <w:rPr>
          <w:rFonts w:ascii="宋体" w:hAnsi="宋体" w:cs="宋体"/>
          <w:color w:val="000000" w:themeColor="text1"/>
          <w:highlight w:val="none"/>
          <w14:textFill>
            <w14:solidFill>
              <w14:schemeClr w14:val="tx1"/>
            </w14:solidFill>
          </w14:textFill>
        </w:rPr>
        <w:t>进行集中无害化处置</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年产生量约600吨（</w:t>
      </w:r>
      <w:r>
        <w:rPr>
          <w:rFonts w:hint="eastAsia" w:ascii="宋体" w:hAnsi="宋体" w:eastAsia="宋体" w:cs="宋体"/>
          <w:color w:val="000000" w:themeColor="text1"/>
          <w:sz w:val="21"/>
          <w:szCs w:val="21"/>
          <w:highlight w:val="none"/>
          <w14:textFill>
            <w14:solidFill>
              <w14:schemeClr w14:val="tx1"/>
            </w14:solidFill>
          </w14:textFill>
        </w:rPr>
        <w:t>本次招标的</w:t>
      </w:r>
      <w:r>
        <w:rPr>
          <w:rFonts w:hint="eastAsia" w:ascii="宋体" w:hAnsi="宋体" w:cs="宋体"/>
          <w:color w:val="000000" w:themeColor="text1"/>
          <w:sz w:val="21"/>
          <w:szCs w:val="21"/>
          <w:highlight w:val="none"/>
          <w:lang w:eastAsia="zh-CN"/>
          <w14:textFill>
            <w14:solidFill>
              <w14:schemeClr w14:val="tx1"/>
            </w14:solidFill>
          </w14:textFill>
        </w:rPr>
        <w:t>危废</w:t>
      </w:r>
      <w:r>
        <w:rPr>
          <w:rFonts w:hint="eastAsia" w:ascii="宋体" w:hAnsi="宋体" w:eastAsia="宋体" w:cs="宋体"/>
          <w:color w:val="000000" w:themeColor="text1"/>
          <w:sz w:val="21"/>
          <w:szCs w:val="21"/>
          <w:highlight w:val="none"/>
          <w14:textFill>
            <w14:solidFill>
              <w14:schemeClr w14:val="tx1"/>
            </w14:solidFill>
          </w14:textFill>
        </w:rPr>
        <w:t>处置量为暂定量，最终结算以实际处置量为准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bookmarkEnd w:id="136"/>
    <w:p w14:paraId="5C7F8E0F">
      <w:pPr>
        <w:keepNext w:val="0"/>
        <w:keepLines w:val="0"/>
        <w:pageBreakBefore w:val="0"/>
        <w:widowControl w:val="0"/>
        <w:kinsoku/>
        <w:wordWrap/>
        <w:overflowPunct/>
        <w:topLinePunct w:val="0"/>
        <w:bidi w:val="0"/>
        <w:snapToGrid/>
        <w:spacing w:line="440" w:lineRule="exac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二</w:t>
      </w:r>
      <w:r>
        <w:rPr>
          <w:rFonts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项目要求</w:t>
      </w:r>
    </w:p>
    <w:p w14:paraId="02FDCA8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ascii="宋体" w:hAnsi="宋体" w:cs="宋体"/>
          <w:b w:val="0"/>
          <w:bCs w:val="0"/>
          <w:color w:val="000000" w:themeColor="text1"/>
          <w:highlight w:val="none"/>
          <w14:textFill>
            <w14:solidFill>
              <w14:schemeClr w14:val="tx1"/>
            </w14:solidFill>
          </w14:textFill>
        </w:rPr>
        <w:t>处置方式</w:t>
      </w:r>
      <w:r>
        <w:rPr>
          <w:rFonts w:ascii="宋体" w:hAnsi="宋体" w:cs="宋体"/>
          <w:b/>
          <w:bCs/>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无害化焚烧及安全填埋</w:t>
      </w:r>
      <w:r>
        <w:rPr>
          <w:rFonts w:ascii="宋体" w:hAnsi="宋体" w:cs="宋体"/>
          <w:color w:val="000000" w:themeColor="text1"/>
          <w:highlight w:val="none"/>
          <w14:textFill>
            <w14:solidFill>
              <w14:schemeClr w14:val="tx1"/>
            </w14:solidFill>
          </w14:textFill>
        </w:rPr>
        <w:t>。</w:t>
      </w:r>
    </w:p>
    <w:p w14:paraId="6413418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default" w:ascii="宋体" w:hAnsi="宋体" w:eastAsia="宋体" w:cs="宋体"/>
          <w:b w:val="0"/>
          <w:bCs w:val="0"/>
          <w:color w:val="000000" w:themeColor="text1"/>
          <w:highlight w:val="none"/>
          <w14:textFill>
            <w14:solidFill>
              <w14:schemeClr w14:val="tx1"/>
            </w14:solidFill>
          </w14:textFill>
        </w:rPr>
        <w:t>处置要求</w:t>
      </w:r>
      <w:r>
        <w:rPr>
          <w:rFonts w:hint="default" w:ascii="宋体" w:hAnsi="宋体" w:eastAsia="宋体" w:cs="宋体"/>
          <w:b/>
          <w:bCs/>
          <w:color w:val="000000" w:themeColor="text1"/>
          <w:highlight w:val="none"/>
          <w14:textFill>
            <w14:solidFill>
              <w14:schemeClr w14:val="tx1"/>
            </w14:solidFill>
          </w14:textFill>
        </w:rPr>
        <w:t>：</w:t>
      </w:r>
      <w:r>
        <w:rPr>
          <w:rFonts w:hint="default" w:ascii="宋体" w:hAnsi="宋体" w:eastAsia="宋体" w:cs="宋体"/>
          <w:color w:val="000000" w:themeColor="text1"/>
          <w:highlight w:val="none"/>
          <w14:textFill>
            <w14:solidFill>
              <w14:schemeClr w14:val="tx1"/>
            </w14:solidFill>
          </w14:textFill>
        </w:rPr>
        <w:t>符合国家现行有关</w:t>
      </w:r>
      <w:r>
        <w:rPr>
          <w:rFonts w:hint="eastAsia" w:ascii="宋体" w:hAnsi="宋体" w:eastAsia="宋体" w:cs="宋体"/>
          <w:color w:val="000000" w:themeColor="text1"/>
          <w:sz w:val="21"/>
          <w:szCs w:val="21"/>
          <w:highlight w:val="none"/>
          <w14:textFill>
            <w14:solidFill>
              <w14:schemeClr w14:val="tx1"/>
            </w14:solidFill>
          </w14:textFill>
        </w:rPr>
        <w:t>相关法律、法规</w:t>
      </w:r>
      <w:r>
        <w:rPr>
          <w:rFonts w:hint="default" w:ascii="宋体" w:hAnsi="宋体" w:eastAsia="宋体" w:cs="宋体"/>
          <w:color w:val="000000" w:themeColor="text1"/>
          <w:highlight w:val="none"/>
          <w14:textFill>
            <w14:solidFill>
              <w14:schemeClr w14:val="tx1"/>
            </w14:solidFill>
          </w14:textFill>
        </w:rPr>
        <w:t>规定和招标文件的具体要求</w:t>
      </w:r>
      <w:r>
        <w:rPr>
          <w:rFonts w:hint="eastAsia" w:ascii="宋体" w:hAnsi="宋体" w:eastAsia="宋体" w:cs="宋体"/>
          <w:color w:val="000000" w:themeColor="text1"/>
          <w:highlight w:val="none"/>
          <w:lang w:eastAsia="zh-CN"/>
          <w14:textFill>
            <w14:solidFill>
              <w14:schemeClr w14:val="tx1"/>
            </w14:solidFill>
          </w14:textFill>
        </w:rPr>
        <w:t>。</w:t>
      </w:r>
    </w:p>
    <w:p w14:paraId="3EAF0B7F">
      <w:pPr>
        <w:keepNext w:val="0"/>
        <w:keepLines w:val="0"/>
        <w:pageBreakBefore w:val="0"/>
        <w:widowControl w:val="0"/>
        <w:kinsoku/>
        <w:wordWrap/>
        <w:overflowPunct/>
        <w:topLinePunct w:val="0"/>
        <w:bidi w:val="0"/>
        <w:snapToGrid/>
        <w:spacing w:line="44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需具有转运危险废物的资质，转运车辆驾驶人员和押运员妥善保管处置物的装卸，采取防范措施防止在储运过程中发生火灾、爆炸或泄漏等事故以及对环境的污染。</w:t>
      </w:r>
    </w:p>
    <w:p w14:paraId="2DB64733">
      <w:pPr>
        <w:keepNext w:val="0"/>
        <w:keepLines w:val="0"/>
        <w:pageBreakBefore w:val="0"/>
        <w:widowControl w:val="0"/>
        <w:kinsoku/>
        <w:wordWrap/>
        <w:overflowPunct/>
        <w:topLinePunct w:val="0"/>
        <w:bidi w:val="0"/>
        <w:snapToGrid/>
        <w:spacing w:line="44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、处置单位按约定时间派专人专车前往危废存放点，按照环保部门相关要求进行打包（确保在运输途中不出现泄漏，扬撒）。对运输危废的空车进行称重，开具过磅单后进行焚烧处理。</w:t>
      </w:r>
    </w:p>
    <w:p w14:paraId="2ACE24F5">
      <w:pPr>
        <w:keepNext w:val="0"/>
        <w:keepLines w:val="0"/>
        <w:pageBreakBefore w:val="0"/>
        <w:widowControl w:val="0"/>
        <w:kinsoku/>
        <w:wordWrap/>
        <w:overflowPunct/>
        <w:topLinePunct w:val="0"/>
        <w:bidi w:val="0"/>
        <w:snapToGrid/>
        <w:spacing w:line="44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中标单位在搬运、转移、运输、和处置过程中，所需要的手套、口罩、防毒面具之类的劳保防护用品，由投标人自行准备，出现任何安全事故，包括但不限于泄露、火灾、爆炸和中毒等事故以及由此引发的从业人员或其他第三方人身伤亡和环境危害，相关责任均由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384ECBD8">
      <w:pPr>
        <w:keepNext w:val="0"/>
        <w:keepLines w:val="0"/>
        <w:pageBreakBefore w:val="0"/>
        <w:widowControl w:val="0"/>
        <w:kinsoku/>
        <w:wordWrap/>
        <w:overflowPunct/>
        <w:topLinePunct w:val="0"/>
        <w:bidi w:val="0"/>
        <w:snapToGrid/>
        <w:spacing w:line="44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、中标单位在作业期间，现场有安全员驻场并有急救预案与措施，文明作业，不得损坏花草树木、车辆及其他设施，如有损坏，须照价赔偿。</w:t>
      </w:r>
    </w:p>
    <w:p w14:paraId="68B0A6A0">
      <w:pPr>
        <w:keepNext w:val="0"/>
        <w:keepLines w:val="0"/>
        <w:pageBreakBefore w:val="0"/>
        <w:widowControl w:val="0"/>
        <w:kinsoku/>
        <w:wordWrap/>
        <w:overflowPunct/>
        <w:topLinePunct w:val="0"/>
        <w:bidi w:val="0"/>
        <w:snapToGrid/>
        <w:spacing w:line="44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、中标单位应当随时接收所运危险废物，不得拒收。因自身原因不能正常运输或接受危险废物时，采购人有权认定中标单位违约，根据采购人要求可解除合同，同时中标单位对采购人进行赔偿。</w:t>
      </w:r>
    </w:p>
    <w:p w14:paraId="07402E77">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三、其他相关要求：</w:t>
      </w:r>
    </w:p>
    <w:p w14:paraId="21972F7B">
      <w:pPr>
        <w:keepNext w:val="0"/>
        <w:keepLines w:val="0"/>
        <w:pageBreakBefore w:val="0"/>
        <w:widowControl w:val="0"/>
        <w:shd w:val="clear"/>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危废</w:t>
      </w:r>
      <w:r>
        <w:rPr>
          <w:rFonts w:hint="eastAsia" w:ascii="宋体" w:hAnsi="宋体" w:eastAsia="宋体" w:cs="宋体"/>
          <w:color w:val="000000" w:themeColor="text1"/>
          <w:sz w:val="21"/>
          <w:szCs w:val="21"/>
          <w:highlight w:val="none"/>
          <w14:textFill>
            <w14:solidFill>
              <w14:schemeClr w14:val="tx1"/>
            </w14:solidFill>
          </w14:textFill>
        </w:rPr>
        <w:t>计量</w:t>
      </w:r>
      <w:r>
        <w:rPr>
          <w:rFonts w:hint="eastAsia" w:ascii="宋体" w:hAnsi="宋体" w:eastAsia="宋体" w:cs="宋体"/>
          <w:color w:val="4472C4" w:themeColor="accent5"/>
          <w:sz w:val="21"/>
          <w:szCs w:val="21"/>
          <w:highlight w:val="none"/>
          <w14:textFill>
            <w14:solidFill>
              <w14:schemeClr w14:val="accent5"/>
            </w14:solidFill>
          </w14:textFill>
        </w:rPr>
        <w:t>：</w:t>
      </w:r>
      <w:r>
        <w:rPr>
          <w:rFonts w:hint="eastAsia" w:ascii="宋体" w:hAnsi="宋体" w:eastAsia="宋体" w:cs="宋体"/>
          <w:color w:val="auto"/>
          <w:sz w:val="21"/>
          <w:szCs w:val="21"/>
          <w:highlight w:val="none"/>
        </w:rPr>
        <w:t>废物的计重应按甲方</w:t>
      </w:r>
      <w:r>
        <w:rPr>
          <w:rFonts w:hint="eastAsia" w:ascii="宋体" w:hAnsi="宋体" w:cs="宋体"/>
          <w:color w:val="auto"/>
          <w:sz w:val="21"/>
          <w:szCs w:val="21"/>
          <w:highlight w:val="none"/>
          <w:lang w:val="en-US" w:eastAsia="zh-CN"/>
        </w:rPr>
        <w:t>指定</w:t>
      </w:r>
      <w:r>
        <w:rPr>
          <w:rFonts w:hint="eastAsia" w:ascii="宋体" w:hAnsi="宋体" w:eastAsia="宋体" w:cs="宋体"/>
          <w:color w:val="auto"/>
          <w:sz w:val="21"/>
          <w:szCs w:val="21"/>
          <w:highlight w:val="none"/>
        </w:rPr>
        <w:t>地磅称重为准，若乙方对甲方称重存在异议的可请技术监督局对甲方</w:t>
      </w:r>
      <w:r>
        <w:rPr>
          <w:rFonts w:hint="eastAsia" w:ascii="宋体" w:hAnsi="宋体" w:cs="宋体"/>
          <w:color w:val="auto"/>
          <w:sz w:val="21"/>
          <w:szCs w:val="21"/>
          <w:highlight w:val="none"/>
          <w:lang w:val="en-US" w:eastAsia="zh-CN"/>
        </w:rPr>
        <w:t>指定</w:t>
      </w:r>
      <w:r>
        <w:rPr>
          <w:rFonts w:hint="eastAsia" w:ascii="宋体" w:hAnsi="宋体" w:eastAsia="宋体" w:cs="宋体"/>
          <w:color w:val="auto"/>
          <w:sz w:val="21"/>
          <w:szCs w:val="21"/>
          <w:highlight w:val="none"/>
        </w:rPr>
        <w:t>地磅进行重新标定，若标定结果甲方地磅在规范允许的误差范围之内，则标定费用由乙方承担，若标定结果甲方地磅超出规范允许的误差范围，则标定费用由甲方承担</w:t>
      </w:r>
      <w:r>
        <w:rPr>
          <w:rFonts w:hint="eastAsia" w:ascii="宋体" w:hAnsi="宋体" w:eastAsia="宋体" w:cs="宋体"/>
          <w:color w:val="auto"/>
          <w:sz w:val="21"/>
          <w:szCs w:val="21"/>
          <w:highlight w:val="none"/>
          <w:lang w:eastAsia="zh-CN"/>
        </w:rPr>
        <w:t>。</w:t>
      </w:r>
    </w:p>
    <w:p w14:paraId="24F0491A">
      <w:pPr>
        <w:keepNext w:val="0"/>
        <w:keepLines w:val="0"/>
        <w:pageBreakBefore w:val="0"/>
        <w:widowControl w:val="0"/>
        <w:kinsoku/>
        <w:wordWrap/>
        <w:overflowPunct/>
        <w:topLinePunct w:val="0"/>
        <w:bidi w:val="0"/>
        <w:adjustRightInd w:val="0"/>
        <w:snapToGrid w:val="0"/>
        <w:spacing w:line="440" w:lineRule="exact"/>
        <w:ind w:firstLine="420" w:firstLineChars="200"/>
        <w:textAlignment w:val="auto"/>
        <w:outlineLvl w:val="1"/>
        <w:rPr>
          <w:highlight w:val="none"/>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付款方式：</w:t>
      </w:r>
      <w:r>
        <w:rPr>
          <w:rFonts w:ascii="宋体" w:hAnsi="宋体"/>
          <w:b/>
          <w:bCs/>
          <w:color w:val="auto"/>
          <w:szCs w:val="32"/>
          <w:highlight w:val="none"/>
        </w:rPr>
        <w:t>按照</w:t>
      </w:r>
      <w:r>
        <w:rPr>
          <w:rFonts w:hint="eastAsia" w:ascii="宋体" w:hAnsi="宋体"/>
          <w:b/>
          <w:bCs/>
          <w:color w:val="auto"/>
          <w:szCs w:val="32"/>
          <w:highlight w:val="none"/>
          <w:lang w:val="en-US" w:eastAsia="zh-CN"/>
        </w:rPr>
        <w:t>每月</w:t>
      </w:r>
      <w:r>
        <w:rPr>
          <w:rFonts w:ascii="宋体" w:hAnsi="宋体"/>
          <w:b/>
          <w:bCs/>
          <w:color w:val="auto"/>
          <w:szCs w:val="32"/>
          <w:highlight w:val="none"/>
        </w:rPr>
        <w:t>实际接收的废物数量（以《废物转移联单》中数量为准）</w:t>
      </w:r>
      <w:r>
        <w:rPr>
          <w:rFonts w:hint="eastAsia" w:ascii="宋体" w:hAnsi="宋体"/>
          <w:b/>
          <w:bCs/>
          <w:color w:val="auto"/>
          <w:szCs w:val="32"/>
          <w:highlight w:val="none"/>
          <w:lang w:val="en-US" w:eastAsia="zh-CN"/>
        </w:rPr>
        <w:t>次月</w:t>
      </w:r>
      <w:r>
        <w:rPr>
          <w:rFonts w:ascii="宋体" w:hAnsi="宋体"/>
          <w:b/>
          <w:bCs/>
          <w:color w:val="auto"/>
          <w:szCs w:val="32"/>
          <w:highlight w:val="none"/>
        </w:rPr>
        <w:t>结算处置服务费用，乙方根据实际</w:t>
      </w:r>
      <w:r>
        <w:rPr>
          <w:rFonts w:hint="eastAsia" w:ascii="宋体" w:hAnsi="宋体"/>
          <w:b/>
          <w:bCs/>
          <w:color w:val="auto"/>
          <w:szCs w:val="32"/>
          <w:highlight w:val="none"/>
          <w:lang w:val="en-US" w:eastAsia="zh-CN"/>
        </w:rPr>
        <w:t>接收的</w:t>
      </w:r>
      <w:r>
        <w:rPr>
          <w:rFonts w:ascii="宋体" w:hAnsi="宋体"/>
          <w:b/>
          <w:bCs/>
          <w:color w:val="auto"/>
          <w:szCs w:val="32"/>
          <w:highlight w:val="none"/>
        </w:rPr>
        <w:t>重量开具相关处置费发票。</w:t>
      </w:r>
    </w:p>
    <w:bookmarkEnd w:id="130"/>
    <w:bookmarkEnd w:id="131"/>
    <w:bookmarkEnd w:id="132"/>
    <w:bookmarkEnd w:id="133"/>
    <w:bookmarkEnd w:id="134"/>
    <w:bookmarkEnd w:id="135"/>
    <w:p w14:paraId="5761EDB9">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137" w:name="_Toc19141"/>
      <w:bookmarkStart w:id="138" w:name="_Toc30401"/>
      <w:bookmarkStart w:id="139" w:name="_Toc20961"/>
      <w:bookmarkStart w:id="140" w:name="_Toc3917"/>
      <w:bookmarkStart w:id="141" w:name="_Toc9678"/>
      <w:bookmarkStart w:id="142" w:name="_Toc2650"/>
      <w:r>
        <w:rPr>
          <w:rFonts w:hint="eastAsia" w:ascii="宋体" w:hAnsi="宋体" w:cs="宋体"/>
          <w:b/>
          <w:color w:val="auto"/>
          <w:sz w:val="21"/>
          <w:szCs w:val="21"/>
          <w:highlight w:val="none"/>
          <w:lang w:val="en-US" w:eastAsia="zh-CN"/>
        </w:rPr>
        <w:t>3、</w:t>
      </w:r>
      <w:r>
        <w:rPr>
          <w:rFonts w:hint="eastAsia" w:ascii="宋体" w:hAnsi="宋体" w:cs="宋体"/>
          <w:b/>
          <w:color w:val="000000" w:themeColor="text1"/>
          <w:sz w:val="21"/>
          <w:szCs w:val="21"/>
          <w:highlight w:val="none"/>
          <w14:textFill>
            <w14:solidFill>
              <w14:schemeClr w14:val="tx1"/>
            </w14:solidFill>
          </w14:textFill>
        </w:rPr>
        <w:t>最高限价及</w:t>
      </w:r>
      <w:r>
        <w:rPr>
          <w:rFonts w:ascii="宋体" w:hAnsi="宋体" w:cs="宋体"/>
          <w:b/>
          <w:color w:val="000000" w:themeColor="text1"/>
          <w:sz w:val="21"/>
          <w:szCs w:val="21"/>
          <w:highlight w:val="none"/>
          <w14:textFill>
            <w14:solidFill>
              <w14:schemeClr w14:val="tx1"/>
            </w14:solidFill>
          </w14:textFill>
        </w:rPr>
        <w:t>报价</w:t>
      </w:r>
      <w:r>
        <w:rPr>
          <w:rFonts w:hint="eastAsia" w:ascii="宋体" w:hAnsi="宋体" w:cs="宋体"/>
          <w:b/>
          <w:color w:val="000000" w:themeColor="text1"/>
          <w:sz w:val="21"/>
          <w:szCs w:val="21"/>
          <w:highlight w:val="none"/>
          <w14:textFill>
            <w14:solidFill>
              <w14:schemeClr w14:val="tx1"/>
            </w14:solidFill>
          </w14:textFill>
        </w:rPr>
        <w:t>方式：</w:t>
      </w:r>
      <w:r>
        <w:rPr>
          <w:rFonts w:hint="eastAsia" w:ascii="宋体" w:hAnsi="宋体" w:eastAsia="宋体" w:cs="宋体"/>
          <w:b/>
          <w:bCs/>
          <w:color w:val="000000" w:themeColor="text1"/>
          <w:sz w:val="21"/>
          <w:szCs w:val="21"/>
          <w:highlight w:val="none"/>
          <w14:textFill>
            <w14:solidFill>
              <w14:schemeClr w14:val="tx1"/>
            </w14:solidFill>
          </w14:textFill>
        </w:rPr>
        <w:t>本项目预算</w:t>
      </w:r>
      <w:r>
        <w:rPr>
          <w:rFonts w:hint="eastAsia" w:ascii="宋体" w:hAnsi="宋体" w:cs="宋体"/>
          <w:b/>
          <w:bCs/>
          <w:color w:val="000000" w:themeColor="text1"/>
          <w:sz w:val="21"/>
          <w:szCs w:val="21"/>
          <w:highlight w:val="none"/>
          <w:lang w:eastAsia="zh-CN"/>
          <w14:textFill>
            <w14:solidFill>
              <w14:schemeClr w14:val="tx1"/>
            </w14:solidFill>
          </w14:textFill>
        </w:rPr>
        <w:t>价</w:t>
      </w:r>
      <w:r>
        <w:rPr>
          <w:rFonts w:hint="eastAsia" w:ascii="宋体" w:hAnsi="宋体" w:eastAsia="宋体" w:cs="宋体"/>
          <w:b/>
          <w:bCs/>
          <w:color w:val="000000" w:themeColor="text1"/>
          <w:sz w:val="21"/>
          <w:szCs w:val="21"/>
          <w:highlight w:val="none"/>
          <w14:textFill>
            <w14:solidFill>
              <w14:schemeClr w14:val="tx1"/>
            </w14:solidFill>
          </w14:textFill>
        </w:rPr>
        <w:t>为</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1200000.00</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元，最高限价</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单价）</w:t>
      </w:r>
      <w:r>
        <w:rPr>
          <w:rFonts w:hint="eastAsia" w:ascii="宋体" w:hAnsi="宋体" w:eastAsia="宋体" w:cs="宋体"/>
          <w:b/>
          <w:bCs/>
          <w:color w:val="000000" w:themeColor="text1"/>
          <w:sz w:val="21"/>
          <w:szCs w:val="21"/>
          <w:highlight w:val="none"/>
          <w14:textFill>
            <w14:solidFill>
              <w14:schemeClr w14:val="tx1"/>
            </w14:solidFill>
          </w14:textFill>
        </w:rPr>
        <w:t>为</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2000.00</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元/吨，投标报价高于最高限价的作为无效投标处理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预估</w:t>
      </w:r>
      <w:r>
        <w:rPr>
          <w:rFonts w:hint="eastAsia" w:ascii="宋体" w:hAnsi="宋体" w:eastAsia="宋体" w:cs="宋体"/>
          <w:b/>
          <w:bCs/>
          <w:color w:val="000000" w:themeColor="text1"/>
          <w:sz w:val="21"/>
          <w:szCs w:val="21"/>
          <w:highlight w:val="none"/>
          <w14:textFill>
            <w14:solidFill>
              <w14:schemeClr w14:val="tx1"/>
            </w14:solidFill>
          </w14:textFill>
        </w:rPr>
        <w:t>处置量：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600吨/年</w:t>
      </w:r>
      <w:r>
        <w:rPr>
          <w:rFonts w:hint="eastAsia" w:ascii="宋体" w:hAnsi="宋体" w:eastAsia="宋体" w:cs="宋体"/>
          <w:b/>
          <w:bCs/>
          <w:color w:val="000000" w:themeColor="text1"/>
          <w:sz w:val="21"/>
          <w:szCs w:val="21"/>
          <w:highlight w:val="none"/>
          <w14:textFill>
            <w14:solidFill>
              <w14:schemeClr w14:val="tx1"/>
            </w14:solidFill>
          </w14:textFill>
        </w:rPr>
        <w:t>。</w:t>
      </w:r>
    </w:p>
    <w:p w14:paraId="5E42A434">
      <w:pPr>
        <w:pStyle w:val="66"/>
        <w:keepNext w:val="0"/>
        <w:keepLines w:val="0"/>
        <w:pageBreakBefore w:val="0"/>
        <w:widowControl w:val="0"/>
        <w:kinsoku/>
        <w:wordWrap/>
        <w:overflowPunct/>
        <w:topLinePunct w:val="0"/>
        <w:bidi w:val="0"/>
        <w:snapToGrid/>
        <w:spacing w:line="440" w:lineRule="exact"/>
        <w:ind w:firstLine="505"/>
        <w:jc w:val="both"/>
        <w:textAlignment w:val="auto"/>
        <w:rPr>
          <w:rFonts w:hint="eastAsia" w:ascii="宋体" w:hAnsi="宋体" w:cs="宋体"/>
          <w:b/>
          <w:color w:val="auto"/>
          <w:sz w:val="44"/>
          <w:szCs w:val="44"/>
          <w:highlight w:val="none"/>
        </w:rPr>
      </w:pPr>
      <w:r>
        <w:rPr>
          <w:rFonts w:hint="eastAsia" w:ascii="宋体" w:hAnsi="宋体" w:cs="宋体"/>
          <w:b/>
          <w:color w:val="auto"/>
          <w:sz w:val="21"/>
          <w:szCs w:val="21"/>
          <w:highlight w:val="none"/>
          <w:lang w:val="en-US" w:eastAsia="zh-CN"/>
        </w:rPr>
        <w:t>4、</w:t>
      </w:r>
      <w:r>
        <w:rPr>
          <w:rFonts w:hint="eastAsia" w:ascii="宋体" w:hAnsi="宋体" w:eastAsia="宋体"/>
          <w:b/>
          <w:bCs/>
          <w:color w:val="auto"/>
          <w:sz w:val="21"/>
          <w:szCs w:val="21"/>
          <w:highlight w:val="none"/>
        </w:rPr>
        <w:t>投标人要认真阅读</w:t>
      </w:r>
      <w:r>
        <w:rPr>
          <w:rFonts w:hint="eastAsia" w:ascii="宋体" w:hAnsi="宋体" w:eastAsia="宋体"/>
          <w:b/>
          <w:bCs/>
          <w:color w:val="auto"/>
          <w:sz w:val="21"/>
          <w:szCs w:val="21"/>
          <w:highlight w:val="none"/>
          <w:lang w:eastAsia="zh-CN"/>
        </w:rPr>
        <w:t>招标文件</w:t>
      </w:r>
      <w:r>
        <w:rPr>
          <w:rFonts w:hint="eastAsia" w:ascii="宋体" w:hAnsi="宋体" w:eastAsia="宋体"/>
          <w:b/>
          <w:bCs/>
          <w:color w:val="auto"/>
          <w:sz w:val="21"/>
          <w:szCs w:val="21"/>
          <w:highlight w:val="none"/>
        </w:rPr>
        <w:t>，</w:t>
      </w:r>
      <w:r>
        <w:rPr>
          <w:rFonts w:hint="eastAsia" w:ascii="宋体" w:hAnsi="宋体"/>
          <w:b/>
          <w:bCs/>
          <w:color w:val="auto"/>
          <w:sz w:val="21"/>
          <w:szCs w:val="21"/>
          <w:highlight w:val="none"/>
          <w:lang w:eastAsia="zh-CN"/>
        </w:rPr>
        <w:t>可选择自行踏勘现场（踏勘费用自理），</w:t>
      </w:r>
      <w:r>
        <w:rPr>
          <w:rFonts w:hint="eastAsia" w:ascii="宋体" w:hAnsi="宋体" w:eastAsia="宋体"/>
          <w:b/>
          <w:bCs/>
          <w:color w:val="auto"/>
          <w:sz w:val="21"/>
          <w:szCs w:val="21"/>
          <w:highlight w:val="none"/>
        </w:rPr>
        <w:t>慎重报价。采购人不再支付报价以外的任何费用。</w:t>
      </w:r>
    </w:p>
    <w:p w14:paraId="22446CDA">
      <w:pPr>
        <w:rPr>
          <w:rFonts w:hint="eastAsia"/>
          <w:color w:val="auto"/>
          <w:highlight w:val="none"/>
        </w:rPr>
      </w:pPr>
    </w:p>
    <w:p w14:paraId="3C193D89">
      <w:pPr>
        <w:spacing w:beforeLines="25" w:afterLines="25"/>
        <w:jc w:val="center"/>
        <w:rPr>
          <w:rFonts w:ascii="宋体" w:hAnsi="宋体" w:cs="宋体"/>
          <w:b/>
          <w:bCs/>
          <w:color w:val="auto"/>
          <w:sz w:val="36"/>
          <w:highlight w:val="none"/>
        </w:rPr>
      </w:pPr>
      <w:r>
        <w:rPr>
          <w:rFonts w:hint="eastAsia" w:ascii="宋体" w:hAnsi="宋体" w:cs="宋体"/>
          <w:b/>
          <w:color w:val="auto"/>
          <w:sz w:val="44"/>
          <w:szCs w:val="44"/>
          <w:highlight w:val="none"/>
        </w:rPr>
        <w:t>第四章 合同主要条款</w:t>
      </w:r>
      <w:bookmarkStart w:id="143" w:name="_Hlt16619369"/>
      <w:bookmarkEnd w:id="143"/>
    </w:p>
    <w:p w14:paraId="25F99F90">
      <w:pPr>
        <w:spacing w:beforeLines="25" w:afterLines="25"/>
        <w:ind w:firstLine="3614" w:firstLineChars="1000"/>
        <w:rPr>
          <w:rFonts w:hint="eastAsia" w:ascii="宋体" w:hAnsi="宋体" w:cs="宋体"/>
          <w:b/>
          <w:bCs/>
          <w:color w:val="auto"/>
          <w:sz w:val="36"/>
          <w:highlight w:val="none"/>
        </w:rPr>
      </w:pPr>
    </w:p>
    <w:p w14:paraId="673ED765">
      <w:pPr>
        <w:spacing w:beforeLines="25" w:afterLines="25"/>
        <w:ind w:firstLine="3614" w:firstLineChars="1000"/>
        <w:rPr>
          <w:rFonts w:hint="eastAsia" w:ascii="宋体" w:hAnsi="宋体" w:cs="宋体"/>
          <w:b/>
          <w:bCs/>
          <w:color w:val="auto"/>
          <w:sz w:val="36"/>
          <w:highlight w:val="none"/>
        </w:rPr>
      </w:pPr>
    </w:p>
    <w:p w14:paraId="7FF44EE7">
      <w:pPr>
        <w:spacing w:beforeLines="25" w:afterLines="25"/>
        <w:ind w:firstLine="3614" w:firstLineChars="1000"/>
        <w:rPr>
          <w:rFonts w:ascii="宋体" w:hAnsi="宋体" w:cs="宋体"/>
          <w:b/>
          <w:bCs/>
          <w:color w:val="auto"/>
          <w:sz w:val="36"/>
          <w:highlight w:val="none"/>
        </w:rPr>
      </w:pPr>
      <w:r>
        <w:rPr>
          <w:rFonts w:hint="eastAsia" w:ascii="宋体" w:hAnsi="宋体" w:cs="宋体"/>
          <w:b/>
          <w:bCs/>
          <w:color w:val="auto"/>
          <w:sz w:val="36"/>
          <w:highlight w:val="none"/>
        </w:rPr>
        <w:t>采购合同</w:t>
      </w:r>
    </w:p>
    <w:p w14:paraId="4907085E">
      <w:pPr>
        <w:spacing w:beforeLines="25" w:afterLines="25"/>
        <w:jc w:val="center"/>
        <w:rPr>
          <w:rFonts w:ascii="宋体" w:hAnsi="宋体" w:cs="宋体"/>
          <w:b/>
          <w:bCs/>
          <w:color w:val="auto"/>
          <w:sz w:val="36"/>
          <w:highlight w:val="none"/>
        </w:rPr>
      </w:pPr>
    </w:p>
    <w:p w14:paraId="7F0096B8">
      <w:pPr>
        <w:spacing w:beforeLines="25" w:afterLines="25"/>
        <w:jc w:val="both"/>
        <w:rPr>
          <w:rFonts w:ascii="宋体" w:hAnsi="宋体" w:cs="宋体"/>
          <w:b/>
          <w:bCs/>
          <w:color w:val="auto"/>
          <w:sz w:val="36"/>
          <w:highlight w:val="none"/>
        </w:rPr>
      </w:pPr>
    </w:p>
    <w:p w14:paraId="4F68FFAC">
      <w:pPr>
        <w:spacing w:beforeLines="25" w:afterLines="25"/>
        <w:ind w:firstLine="843" w:firstLineChars="300"/>
        <w:rPr>
          <w:rFonts w:ascii="宋体" w:hAnsi="宋体" w:cs="宋体"/>
          <w:b/>
          <w:bCs/>
          <w:color w:val="auto"/>
          <w:sz w:val="28"/>
          <w:szCs w:val="28"/>
          <w:highlight w:val="none"/>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u w:val="single"/>
        </w:rPr>
        <w:t xml:space="preserve">                        </w:t>
      </w:r>
    </w:p>
    <w:p w14:paraId="377432D0">
      <w:pPr>
        <w:spacing w:beforeLines="25" w:afterLines="25"/>
        <w:rPr>
          <w:rFonts w:ascii="宋体" w:hAnsi="宋体" w:cs="宋体"/>
          <w:b/>
          <w:bCs/>
          <w:color w:val="auto"/>
          <w:sz w:val="28"/>
          <w:szCs w:val="28"/>
          <w:highlight w:val="none"/>
        </w:rPr>
      </w:pPr>
    </w:p>
    <w:p w14:paraId="55732C72">
      <w:pPr>
        <w:spacing w:beforeLines="25" w:afterLines="25"/>
        <w:ind w:right="210" w:rightChars="100" w:firstLine="826" w:firstLineChars="294"/>
        <w:rPr>
          <w:rFonts w:ascii="宋体" w:hAnsi="宋体" w:cs="宋体"/>
          <w:b/>
          <w:bCs/>
          <w:color w:val="auto"/>
          <w:sz w:val="28"/>
          <w:szCs w:val="28"/>
          <w:highlight w:val="none"/>
        </w:rPr>
      </w:pPr>
      <w:r>
        <w:rPr>
          <w:rFonts w:hint="eastAsia" w:ascii="宋体" w:hAnsi="宋体" w:cs="宋体"/>
          <w:b/>
          <w:bCs/>
          <w:color w:val="auto"/>
          <w:sz w:val="28"/>
          <w:szCs w:val="28"/>
          <w:highlight w:val="none"/>
        </w:rPr>
        <w:t>合同编号：</w:t>
      </w:r>
      <w:r>
        <w:rPr>
          <w:rFonts w:hint="eastAsia" w:ascii="宋体" w:hAnsi="宋体" w:cs="宋体"/>
          <w:b/>
          <w:bCs/>
          <w:color w:val="auto"/>
          <w:sz w:val="28"/>
          <w:szCs w:val="28"/>
          <w:highlight w:val="none"/>
          <w:u w:val="single"/>
        </w:rPr>
        <w:t xml:space="preserve">                         </w:t>
      </w:r>
    </w:p>
    <w:p w14:paraId="32A8E309">
      <w:pPr>
        <w:spacing w:beforeLines="25" w:afterLines="25"/>
        <w:rPr>
          <w:rFonts w:ascii="宋体" w:hAnsi="宋体" w:cs="宋体"/>
          <w:b/>
          <w:bCs/>
          <w:color w:val="auto"/>
          <w:sz w:val="28"/>
          <w:szCs w:val="28"/>
          <w:highlight w:val="none"/>
        </w:rPr>
      </w:pPr>
    </w:p>
    <w:p w14:paraId="17DA5F5B">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auto"/>
        <w:ind w:firstLine="840" w:firstLineChars="300"/>
        <w:contextualSpacing/>
        <w:textAlignment w:val="auto"/>
        <w:rPr>
          <w:rFonts w:hint="eastAsia" w:ascii="黑体" w:hAnsi="黑体" w:eastAsia="黑体" w:cs="黑体"/>
          <w:b w:val="0"/>
          <w:bCs/>
          <w:color w:val="auto"/>
          <w:sz w:val="28"/>
          <w:szCs w:val="28"/>
          <w:highlight w:val="none"/>
          <w:u w:val="none"/>
          <w:lang w:val="en-US" w:eastAsia="zh-CN"/>
        </w:rPr>
      </w:pPr>
      <w:r>
        <w:rPr>
          <w:rFonts w:hint="eastAsia" w:ascii="黑体" w:hAnsi="黑体" w:eastAsia="黑体" w:cs="黑体"/>
          <w:b w:val="0"/>
          <w:bCs/>
          <w:color w:val="auto"/>
          <w:sz w:val="28"/>
          <w:szCs w:val="28"/>
          <w:highlight w:val="none"/>
          <w:u w:val="none"/>
          <w:lang w:val="en-US" w:eastAsia="zh-CN"/>
        </w:rPr>
        <w:t>委托单位（甲方）：</w:t>
      </w:r>
      <w:r>
        <w:rPr>
          <w:rFonts w:hint="eastAsia" w:ascii="黑体" w:hAnsi="黑体" w:eastAsia="黑体" w:cs="黑体"/>
          <w:b w:val="0"/>
          <w:bCs/>
          <w:color w:val="auto"/>
          <w:sz w:val="36"/>
          <w:szCs w:val="36"/>
          <w:highlight w:val="none"/>
          <w:u w:val="single"/>
          <w:lang w:val="en-US" w:eastAsia="zh-CN"/>
        </w:rPr>
        <w:t xml:space="preserve"> </w:t>
      </w:r>
      <w:r>
        <w:rPr>
          <w:rFonts w:hint="eastAsia" w:ascii="黑体" w:hAnsi="黑体" w:eastAsia="黑体" w:cs="黑体"/>
          <w:color w:val="auto"/>
          <w:sz w:val="28"/>
          <w:szCs w:val="28"/>
          <w:highlight w:val="none"/>
          <w:u w:val="single"/>
          <w:lang w:eastAsia="zh-CN"/>
        </w:rPr>
        <w:t>响水县城市水处理有限公司</w:t>
      </w:r>
      <w:r>
        <w:rPr>
          <w:rFonts w:hint="eastAsia" w:ascii="宋体" w:hAnsi="宋体" w:cs="宋体"/>
          <w:b/>
          <w:bCs/>
          <w:color w:val="auto"/>
          <w:kern w:val="2"/>
          <w:position w:val="0"/>
          <w:sz w:val="36"/>
          <w:szCs w:val="36"/>
          <w:highlight w:val="none"/>
          <w:u w:val="single"/>
          <w:lang w:val="en-US" w:eastAsia="zh-CN" w:bidi="ar-SA"/>
        </w:rPr>
        <w:t xml:space="preserve"> </w:t>
      </w:r>
      <w:r>
        <w:rPr>
          <w:rFonts w:hint="eastAsia" w:ascii="宋体" w:hAnsi="宋体" w:cs="宋体"/>
          <w:b/>
          <w:bCs/>
          <w:color w:val="auto"/>
          <w:kern w:val="2"/>
          <w:position w:val="0"/>
          <w:sz w:val="28"/>
          <w:szCs w:val="28"/>
          <w:highlight w:val="none"/>
          <w:u w:val="none"/>
          <w:lang w:val="en-US" w:eastAsia="zh-CN" w:bidi="ar-SA"/>
        </w:rPr>
        <w:t xml:space="preserve">        </w:t>
      </w:r>
      <w:r>
        <w:rPr>
          <w:rFonts w:hint="eastAsia" w:ascii="黑体" w:hAnsi="黑体" w:eastAsia="黑体" w:cs="黑体"/>
          <w:b w:val="0"/>
          <w:bCs/>
          <w:color w:val="auto"/>
          <w:sz w:val="28"/>
          <w:szCs w:val="28"/>
          <w:highlight w:val="none"/>
          <w:u w:val="none"/>
          <w:lang w:val="en-US" w:eastAsia="zh-CN"/>
        </w:rPr>
        <w:t xml:space="preserve"> </w:t>
      </w:r>
    </w:p>
    <w:p w14:paraId="6CDAEC68">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auto"/>
        <w:ind w:firstLine="840" w:firstLineChars="300"/>
        <w:contextualSpacing/>
        <w:textAlignment w:val="auto"/>
        <w:rPr>
          <w:rFonts w:hint="eastAsia" w:ascii="黑体" w:hAnsi="黑体" w:eastAsia="黑体" w:cs="黑体"/>
          <w:b w:val="0"/>
          <w:bCs/>
          <w:color w:val="auto"/>
          <w:sz w:val="28"/>
          <w:szCs w:val="28"/>
          <w:highlight w:val="none"/>
          <w:u w:val="none"/>
          <w:lang w:val="en-US" w:eastAsia="zh-CN"/>
        </w:rPr>
      </w:pPr>
      <w:r>
        <w:rPr>
          <w:rFonts w:hint="eastAsia" w:ascii="黑体" w:hAnsi="黑体" w:eastAsia="黑体" w:cs="黑体"/>
          <w:b w:val="0"/>
          <w:bCs/>
          <w:color w:val="auto"/>
          <w:sz w:val="28"/>
          <w:szCs w:val="28"/>
          <w:highlight w:val="none"/>
          <w:u w:val="none"/>
          <w:lang w:val="en-US" w:eastAsia="zh-CN"/>
        </w:rPr>
        <w:t xml:space="preserve">   </w:t>
      </w:r>
    </w:p>
    <w:p w14:paraId="528E0C92">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auto"/>
        <w:ind w:firstLine="840" w:firstLineChars="300"/>
        <w:contextualSpacing/>
        <w:textAlignment w:val="auto"/>
        <w:rPr>
          <w:rFonts w:hint="eastAsia" w:ascii="黑体" w:hAnsi="黑体" w:eastAsia="黑体" w:cs="黑体"/>
          <w:b w:val="0"/>
          <w:bCs/>
          <w:color w:val="auto"/>
          <w:sz w:val="28"/>
          <w:szCs w:val="28"/>
          <w:highlight w:val="none"/>
          <w:u w:val="single"/>
          <w:lang w:val="en-US" w:eastAsia="zh-CN"/>
        </w:rPr>
      </w:pPr>
      <w:r>
        <w:rPr>
          <w:rFonts w:hint="eastAsia" w:ascii="黑体" w:hAnsi="黑体" w:eastAsia="黑体" w:cs="黑体"/>
          <w:b w:val="0"/>
          <w:bCs/>
          <w:color w:val="auto"/>
          <w:sz w:val="28"/>
          <w:szCs w:val="28"/>
          <w:highlight w:val="none"/>
          <w:u w:val="none"/>
          <w:lang w:val="en-US" w:eastAsia="zh-CN"/>
        </w:rPr>
        <w:t>中标单位（乙方）：</w:t>
      </w:r>
      <w:r>
        <w:rPr>
          <w:rFonts w:hint="eastAsia" w:ascii="黑体" w:hAnsi="黑体" w:eastAsia="黑体" w:cs="黑体"/>
          <w:b w:val="0"/>
          <w:bCs/>
          <w:color w:val="auto"/>
          <w:sz w:val="28"/>
          <w:szCs w:val="28"/>
          <w:highlight w:val="none"/>
          <w:u w:val="single"/>
          <w:lang w:val="en-US" w:eastAsia="zh-CN"/>
        </w:rPr>
        <w:t xml:space="preserve">                           </w:t>
      </w:r>
    </w:p>
    <w:p w14:paraId="438D58BB">
      <w:pPr>
        <w:pStyle w:val="2"/>
        <w:rPr>
          <w:rFonts w:hint="default"/>
          <w:color w:val="auto"/>
          <w:highlight w:val="none"/>
          <w:lang w:val="en-US" w:eastAsia="zh-CN"/>
        </w:rPr>
      </w:pPr>
    </w:p>
    <w:p w14:paraId="31E938E0">
      <w:pPr>
        <w:keepNext w:val="0"/>
        <w:keepLines w:val="0"/>
        <w:pageBreakBefore w:val="0"/>
        <w:widowControl w:val="0"/>
        <w:kinsoku/>
        <w:wordWrap/>
        <w:overflowPunct/>
        <w:topLinePunct w:val="0"/>
        <w:autoSpaceDE/>
        <w:autoSpaceDN/>
        <w:bidi w:val="0"/>
        <w:adjustRightInd/>
        <w:snapToGrid/>
        <w:spacing w:line="600" w:lineRule="auto"/>
        <w:ind w:firstLine="840" w:firstLineChars="300"/>
        <w:contextualSpacing/>
        <w:textAlignment w:val="auto"/>
        <w:rPr>
          <w:rFonts w:hint="default" w:ascii="宋体" w:hAnsi="宋体" w:eastAsia="宋体" w:cs="宋体"/>
          <w:b/>
          <w:color w:val="auto"/>
          <w:sz w:val="28"/>
          <w:szCs w:val="28"/>
          <w:highlight w:val="none"/>
          <w:u w:val="single"/>
          <w:lang w:val="en-US"/>
        </w:rPr>
      </w:pPr>
      <w:r>
        <w:rPr>
          <w:rFonts w:hint="eastAsia" w:ascii="黑体" w:hAnsi="黑体" w:eastAsia="黑体" w:cs="黑体"/>
          <w:b w:val="0"/>
          <w:bCs/>
          <w:color w:val="auto"/>
          <w:sz w:val="28"/>
          <w:szCs w:val="28"/>
          <w:highlight w:val="none"/>
          <w:u w:val="none"/>
          <w:lang w:val="en-US" w:eastAsia="zh-CN"/>
        </w:rPr>
        <w:t>采购</w:t>
      </w:r>
      <w:r>
        <w:rPr>
          <w:rFonts w:hint="default" w:ascii="黑体" w:hAnsi="黑体" w:eastAsia="黑体" w:cs="黑体"/>
          <w:b w:val="0"/>
          <w:bCs/>
          <w:color w:val="auto"/>
          <w:sz w:val="28"/>
          <w:szCs w:val="28"/>
          <w:highlight w:val="none"/>
          <w:u w:val="none"/>
          <w:lang w:val="en-US" w:eastAsia="zh-CN"/>
        </w:rPr>
        <w:t>单位（</w:t>
      </w:r>
      <w:r>
        <w:rPr>
          <w:rFonts w:hint="eastAsia" w:ascii="黑体" w:hAnsi="黑体" w:eastAsia="黑体" w:cs="黑体"/>
          <w:b w:val="0"/>
          <w:bCs/>
          <w:color w:val="auto"/>
          <w:sz w:val="28"/>
          <w:szCs w:val="28"/>
          <w:highlight w:val="none"/>
          <w:u w:val="none"/>
          <w:lang w:val="en-US" w:eastAsia="zh-CN"/>
        </w:rPr>
        <w:t>丙</w:t>
      </w:r>
      <w:r>
        <w:rPr>
          <w:rFonts w:hint="default" w:ascii="黑体" w:hAnsi="黑体" w:eastAsia="黑体" w:cs="黑体"/>
          <w:b w:val="0"/>
          <w:bCs/>
          <w:color w:val="auto"/>
          <w:sz w:val="28"/>
          <w:szCs w:val="28"/>
          <w:highlight w:val="none"/>
          <w:u w:val="none"/>
          <w:lang w:val="en-US" w:eastAsia="zh-CN"/>
        </w:rPr>
        <w:t>方）：</w:t>
      </w:r>
      <w:r>
        <w:rPr>
          <w:rFonts w:hint="eastAsia" w:ascii="黑体" w:hAnsi="黑体" w:eastAsia="黑体" w:cs="黑体"/>
          <w:b w:val="0"/>
          <w:bCs/>
          <w:color w:val="auto"/>
          <w:sz w:val="28"/>
          <w:szCs w:val="28"/>
          <w:highlight w:val="none"/>
          <w:u w:val="single"/>
          <w:lang w:val="en-US" w:eastAsia="zh-CN"/>
        </w:rPr>
        <w:t>响水县灌江水务有限责任公司</w:t>
      </w:r>
      <w:r>
        <w:rPr>
          <w:rFonts w:hint="default" w:ascii="宋体" w:hAnsi="宋体" w:eastAsia="宋体" w:cs="宋体"/>
          <w:b/>
          <w:color w:val="auto"/>
          <w:sz w:val="28"/>
          <w:szCs w:val="28"/>
          <w:highlight w:val="none"/>
          <w:u w:val="single"/>
          <w:lang w:val="en-US"/>
        </w:rPr>
        <w:t xml:space="preserve"> </w:t>
      </w:r>
    </w:p>
    <w:p w14:paraId="7E5A289B">
      <w:pPr>
        <w:pStyle w:val="27"/>
        <w:ind w:left="0" w:leftChars="0" w:firstLine="0" w:firstLineChars="0"/>
        <w:rPr>
          <w:color w:val="auto"/>
          <w:highlight w:val="none"/>
        </w:rPr>
      </w:pPr>
    </w:p>
    <w:p w14:paraId="0C0485E0">
      <w:pPr>
        <w:pStyle w:val="21"/>
        <w:rPr>
          <w:color w:val="auto"/>
          <w:highlight w:val="none"/>
        </w:rPr>
      </w:pPr>
    </w:p>
    <w:p w14:paraId="5642EA73">
      <w:pPr>
        <w:rPr>
          <w:color w:val="auto"/>
          <w:highlight w:val="none"/>
        </w:rPr>
      </w:pPr>
    </w:p>
    <w:p w14:paraId="1EF4F7FC">
      <w:pPr>
        <w:pStyle w:val="2"/>
        <w:rPr>
          <w:color w:val="auto"/>
          <w:highlight w:val="none"/>
        </w:rPr>
      </w:pPr>
    </w:p>
    <w:p w14:paraId="12380B81">
      <w:pPr>
        <w:spacing w:beforeLines="25" w:afterLines="25"/>
        <w:ind w:right="481" w:rightChars="229" w:firstLine="826" w:firstLineChars="294"/>
        <w:rPr>
          <w:rFonts w:ascii="宋体" w:hAnsi="宋体" w:cs="宋体"/>
          <w:b/>
          <w:bCs/>
          <w:color w:val="auto"/>
          <w:sz w:val="28"/>
          <w:szCs w:val="28"/>
          <w:highlight w:val="none"/>
        </w:rPr>
      </w:pPr>
      <w:r>
        <w:rPr>
          <w:rFonts w:hint="eastAsia" w:ascii="宋体" w:hAnsi="宋体" w:cs="宋体"/>
          <w:b/>
          <w:bCs/>
          <w:color w:val="auto"/>
          <w:sz w:val="28"/>
          <w:szCs w:val="28"/>
          <w:highlight w:val="none"/>
        </w:rPr>
        <w:t>签署日期：       年       月     日</w:t>
      </w:r>
    </w:p>
    <w:bookmarkEnd w:id="137"/>
    <w:bookmarkEnd w:id="138"/>
    <w:bookmarkEnd w:id="139"/>
    <w:bookmarkEnd w:id="140"/>
    <w:bookmarkEnd w:id="141"/>
    <w:bookmarkEnd w:id="142"/>
    <w:p w14:paraId="5B9895C7">
      <w:pPr>
        <w:adjustRightInd w:val="0"/>
        <w:snapToGrid w:val="0"/>
        <w:spacing w:line="360" w:lineRule="auto"/>
        <w:outlineLvl w:val="1"/>
        <w:rPr>
          <w:rFonts w:ascii="宋体" w:hAnsi="宋体"/>
          <w:color w:val="auto"/>
          <w:szCs w:val="32"/>
          <w:highlight w:val="none"/>
        </w:rPr>
      </w:pPr>
    </w:p>
    <w:p w14:paraId="58A42EC2">
      <w:pPr>
        <w:widowControl/>
        <w:tabs>
          <w:tab w:val="left" w:pos="900"/>
        </w:tabs>
        <w:jc w:val="center"/>
        <w:rPr>
          <w:rFonts w:ascii="宋体" w:hAnsi="宋体" w:cs="宋体"/>
          <w:b/>
          <w:bCs/>
          <w:color w:val="auto"/>
          <w:sz w:val="36"/>
          <w:highlight w:val="none"/>
        </w:rPr>
      </w:pPr>
      <w:r>
        <w:rPr>
          <w:rFonts w:hint="eastAsia" w:ascii="宋体" w:hAnsi="宋体" w:cs="宋体"/>
          <w:b/>
          <w:bCs/>
          <w:color w:val="auto"/>
          <w:sz w:val="36"/>
          <w:highlight w:val="none"/>
        </w:rPr>
        <w:t>采购合同</w:t>
      </w:r>
    </w:p>
    <w:tbl>
      <w:tblPr>
        <w:tblStyle w:val="29"/>
        <w:tblpPr w:leftFromText="180" w:rightFromText="180" w:vertAnchor="text" w:horzAnchor="page" w:tblpX="1447" w:tblpY="457"/>
        <w:tblOverlap w:val="never"/>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80"/>
      </w:tblGrid>
      <w:tr w14:paraId="4823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9080" w:type="dxa"/>
            <w:noWrap w:val="0"/>
            <w:vAlign w:val="bottom"/>
          </w:tcPr>
          <w:p w14:paraId="70386B71">
            <w:pPr>
              <w:spacing w:line="360" w:lineRule="auto"/>
              <w:jc w:val="left"/>
              <w:rPr>
                <w:rFonts w:hint="eastAsia" w:ascii="宋体" w:hAnsi="宋体" w:eastAsia="宋体" w:cs="宋体"/>
                <w:b/>
                <w:bCs w:val="0"/>
                <w:color w:val="auto"/>
                <w:sz w:val="22"/>
                <w:szCs w:val="22"/>
                <w:highlight w:val="none"/>
                <w:lang w:val="zh-CN"/>
              </w:rPr>
            </w:pPr>
            <w:r>
              <w:rPr>
                <w:rFonts w:hint="eastAsia" w:ascii="宋体" w:hAnsi="宋体" w:eastAsia="宋体" w:cs="宋体"/>
                <w:b/>
                <w:bCs w:val="0"/>
                <w:color w:val="auto"/>
                <w:sz w:val="22"/>
                <w:szCs w:val="22"/>
                <w:highlight w:val="none"/>
                <w:lang w:val="en-US" w:eastAsia="zh-CN"/>
              </w:rPr>
              <w:t>委托单位</w:t>
            </w:r>
            <w:r>
              <w:rPr>
                <w:rFonts w:hint="eastAsia" w:ascii="宋体" w:hAnsi="宋体" w:eastAsia="宋体" w:cs="宋体"/>
                <w:b/>
                <w:bCs w:val="0"/>
                <w:color w:val="auto"/>
                <w:sz w:val="22"/>
                <w:szCs w:val="22"/>
                <w:highlight w:val="none"/>
                <w:lang w:val="zh-CN"/>
              </w:rPr>
              <w:t>（以下称甲方）：</w:t>
            </w:r>
            <w:r>
              <w:rPr>
                <w:rFonts w:hint="eastAsia" w:ascii="宋体" w:hAnsi="宋体" w:eastAsia="宋体" w:cs="宋体"/>
                <w:b/>
                <w:bCs/>
                <w:color w:val="auto"/>
                <w:sz w:val="21"/>
                <w:szCs w:val="21"/>
                <w:highlight w:val="none"/>
                <w:lang w:eastAsia="zh-CN"/>
              </w:rPr>
              <w:t>响水县城市水处理有限公司</w:t>
            </w:r>
            <w:r>
              <w:rPr>
                <w:rFonts w:hint="eastAsia" w:ascii="宋体" w:hAnsi="宋体" w:eastAsia="宋体" w:cs="宋体"/>
                <w:b/>
                <w:bCs/>
                <w:color w:val="auto"/>
                <w:sz w:val="22"/>
                <w:szCs w:val="22"/>
                <w:highlight w:val="none"/>
                <w:lang w:val="zh-CN"/>
              </w:rPr>
              <w:t xml:space="preserve"> </w:t>
            </w:r>
          </w:p>
        </w:tc>
      </w:tr>
      <w:tr w14:paraId="167C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9080" w:type="dxa"/>
            <w:noWrap w:val="0"/>
            <w:vAlign w:val="bottom"/>
          </w:tcPr>
          <w:p w14:paraId="0B691E5C">
            <w:pPr>
              <w:spacing w:line="360" w:lineRule="auto"/>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zh-CN" w:eastAsia="zh-CN"/>
              </w:rPr>
              <w:t>地址：</w:t>
            </w:r>
          </w:p>
        </w:tc>
      </w:tr>
      <w:tr w14:paraId="0821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9080" w:type="dxa"/>
            <w:shd w:val="clear" w:color="auto" w:fill="auto"/>
            <w:noWrap w:val="0"/>
            <w:vAlign w:val="bottom"/>
          </w:tcPr>
          <w:p w14:paraId="5667A4F8">
            <w:pPr>
              <w:spacing w:line="360" w:lineRule="auto"/>
              <w:jc w:val="left"/>
              <w:rPr>
                <w:rFonts w:hint="eastAsia" w:ascii="宋体" w:hAnsi="宋体" w:eastAsia="宋体" w:cs="宋体"/>
                <w:b/>
                <w:bCs w:val="0"/>
                <w:color w:val="auto"/>
                <w:sz w:val="22"/>
                <w:szCs w:val="22"/>
                <w:highlight w:val="none"/>
                <w:lang w:val="zh-CN" w:eastAsia="zh-CN"/>
              </w:rPr>
            </w:pPr>
            <w:r>
              <w:rPr>
                <w:rFonts w:hint="eastAsia" w:ascii="宋体" w:hAnsi="宋体" w:eastAsia="宋体" w:cs="宋体"/>
                <w:b/>
                <w:bCs w:val="0"/>
                <w:color w:val="auto"/>
                <w:sz w:val="22"/>
                <w:szCs w:val="22"/>
                <w:highlight w:val="none"/>
                <w:lang w:val="en-US" w:eastAsia="zh-CN"/>
              </w:rPr>
              <w:t>中标单位</w:t>
            </w:r>
            <w:r>
              <w:rPr>
                <w:rFonts w:hint="eastAsia" w:ascii="宋体" w:hAnsi="宋体" w:eastAsia="宋体" w:cs="宋体"/>
                <w:b/>
                <w:bCs w:val="0"/>
                <w:color w:val="auto"/>
                <w:sz w:val="22"/>
                <w:szCs w:val="22"/>
                <w:highlight w:val="none"/>
                <w:lang w:val="zh-CN" w:eastAsia="zh-CN"/>
              </w:rPr>
              <w:t xml:space="preserve">：（以下称乙方）： </w:t>
            </w:r>
          </w:p>
        </w:tc>
      </w:tr>
      <w:tr w14:paraId="6FCA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9080" w:type="dxa"/>
            <w:shd w:val="clear" w:color="auto" w:fill="auto"/>
            <w:noWrap w:val="0"/>
            <w:vAlign w:val="bottom"/>
          </w:tcPr>
          <w:p w14:paraId="7B644452">
            <w:pPr>
              <w:spacing w:line="360" w:lineRule="auto"/>
              <w:jc w:val="left"/>
              <w:rPr>
                <w:rFonts w:hint="eastAsia" w:ascii="宋体" w:hAnsi="宋体" w:eastAsia="宋体" w:cs="宋体"/>
                <w:b/>
                <w:bCs w:val="0"/>
                <w:color w:val="auto"/>
                <w:sz w:val="22"/>
                <w:szCs w:val="22"/>
                <w:highlight w:val="none"/>
                <w:lang w:val="zh-CN" w:eastAsia="zh-CN"/>
              </w:rPr>
            </w:pPr>
            <w:r>
              <w:rPr>
                <w:rFonts w:hint="eastAsia" w:ascii="宋体" w:hAnsi="宋体" w:eastAsia="宋体" w:cs="宋体"/>
                <w:b/>
                <w:bCs w:val="0"/>
                <w:color w:val="auto"/>
                <w:sz w:val="22"/>
                <w:szCs w:val="22"/>
                <w:highlight w:val="none"/>
                <w:lang w:val="zh-CN" w:eastAsia="zh-CN"/>
              </w:rPr>
              <w:t>地址：</w:t>
            </w:r>
          </w:p>
        </w:tc>
      </w:tr>
      <w:tr w14:paraId="137D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9080" w:type="dxa"/>
            <w:shd w:val="clear" w:color="auto" w:fill="auto"/>
            <w:noWrap w:val="0"/>
            <w:vAlign w:val="bottom"/>
          </w:tcPr>
          <w:p w14:paraId="6C308FC9">
            <w:pPr>
              <w:spacing w:line="360" w:lineRule="auto"/>
              <w:jc w:val="left"/>
              <w:rPr>
                <w:rFonts w:hint="eastAsia" w:ascii="宋体" w:hAnsi="宋体" w:eastAsia="宋体" w:cs="宋体"/>
                <w:b/>
                <w:bCs w:val="0"/>
                <w:color w:val="auto"/>
                <w:sz w:val="22"/>
                <w:szCs w:val="22"/>
                <w:highlight w:val="none"/>
                <w:lang w:val="zh-CN" w:eastAsia="zh-CN"/>
              </w:rPr>
            </w:pPr>
            <w:r>
              <w:rPr>
                <w:rFonts w:hint="eastAsia" w:ascii="宋体" w:hAnsi="宋体" w:eastAsia="宋体" w:cs="宋体"/>
                <w:b/>
                <w:bCs w:val="0"/>
                <w:color w:val="auto"/>
                <w:sz w:val="22"/>
                <w:szCs w:val="22"/>
                <w:highlight w:val="none"/>
                <w:lang w:val="zh-CN" w:eastAsia="zh-CN"/>
              </w:rPr>
              <w:t>采购</w:t>
            </w:r>
            <w:r>
              <w:rPr>
                <w:rFonts w:hint="eastAsia" w:ascii="宋体" w:hAnsi="宋体" w:eastAsia="宋体" w:cs="宋体"/>
                <w:b/>
                <w:bCs w:val="0"/>
                <w:color w:val="auto"/>
                <w:sz w:val="22"/>
                <w:szCs w:val="22"/>
                <w:highlight w:val="none"/>
                <w:lang w:val="en-US" w:eastAsia="zh-CN"/>
              </w:rPr>
              <w:t>单位</w:t>
            </w:r>
            <w:r>
              <w:rPr>
                <w:rFonts w:hint="eastAsia" w:ascii="宋体" w:hAnsi="宋体" w:eastAsia="宋体" w:cs="宋体"/>
                <w:b/>
                <w:bCs w:val="0"/>
                <w:color w:val="auto"/>
                <w:sz w:val="22"/>
                <w:szCs w:val="22"/>
                <w:highlight w:val="none"/>
                <w:lang w:val="zh-CN" w:eastAsia="zh-CN"/>
              </w:rPr>
              <w:t>（以下称</w:t>
            </w:r>
            <w:r>
              <w:rPr>
                <w:rFonts w:hint="eastAsia" w:ascii="宋体" w:hAnsi="宋体" w:eastAsia="宋体" w:cs="宋体"/>
                <w:b/>
                <w:bCs w:val="0"/>
                <w:color w:val="auto"/>
                <w:sz w:val="22"/>
                <w:szCs w:val="22"/>
                <w:highlight w:val="none"/>
                <w:lang w:val="en-US" w:eastAsia="zh-CN"/>
              </w:rPr>
              <w:t>丙</w:t>
            </w:r>
            <w:r>
              <w:rPr>
                <w:rFonts w:hint="eastAsia" w:ascii="宋体" w:hAnsi="宋体" w:eastAsia="宋体" w:cs="宋体"/>
                <w:b/>
                <w:bCs w:val="0"/>
                <w:color w:val="auto"/>
                <w:sz w:val="22"/>
                <w:szCs w:val="22"/>
                <w:highlight w:val="none"/>
                <w:lang w:val="zh-CN" w:eastAsia="zh-CN"/>
              </w:rPr>
              <w:t xml:space="preserve">方）：响水县灌江水务有限责任公司 </w:t>
            </w:r>
          </w:p>
        </w:tc>
      </w:tr>
      <w:tr w14:paraId="503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9080" w:type="dxa"/>
            <w:shd w:val="clear" w:color="auto" w:fill="auto"/>
            <w:noWrap w:val="0"/>
            <w:vAlign w:val="bottom"/>
          </w:tcPr>
          <w:p w14:paraId="5CA35AD0">
            <w:pPr>
              <w:spacing w:line="360" w:lineRule="auto"/>
              <w:jc w:val="left"/>
              <w:rPr>
                <w:rFonts w:hint="eastAsia" w:ascii="宋体" w:hAnsi="宋体" w:eastAsia="宋体" w:cs="宋体"/>
                <w:b/>
                <w:bCs w:val="0"/>
                <w:color w:val="auto"/>
                <w:sz w:val="22"/>
                <w:szCs w:val="22"/>
                <w:highlight w:val="none"/>
                <w:lang w:val="zh-CN" w:eastAsia="zh-CN"/>
              </w:rPr>
            </w:pPr>
            <w:r>
              <w:rPr>
                <w:rFonts w:hint="eastAsia" w:ascii="宋体" w:hAnsi="宋体" w:eastAsia="宋体" w:cs="宋体"/>
                <w:b/>
                <w:bCs w:val="0"/>
                <w:color w:val="auto"/>
                <w:sz w:val="22"/>
                <w:szCs w:val="22"/>
                <w:highlight w:val="none"/>
                <w:lang w:val="zh-CN" w:eastAsia="zh-CN"/>
              </w:rPr>
              <w:t>地址：</w:t>
            </w:r>
            <w:r>
              <w:rPr>
                <w:rFonts w:hint="eastAsia" w:ascii="宋体" w:hAnsi="宋体" w:eastAsia="宋体" w:cs="宋体"/>
                <w:b/>
                <w:bCs w:val="0"/>
                <w:color w:val="auto"/>
                <w:sz w:val="22"/>
                <w:szCs w:val="22"/>
                <w:highlight w:val="none"/>
                <w:lang w:val="en-US" w:eastAsia="zh-CN"/>
              </w:rPr>
              <w:t xml:space="preserve"> 盐城市响水县响水镇黄河路5-12号</w:t>
            </w:r>
          </w:p>
        </w:tc>
      </w:tr>
    </w:tbl>
    <w:p w14:paraId="41A47216">
      <w:pPr>
        <w:adjustRightInd w:val="0"/>
        <w:snapToGrid w:val="0"/>
        <w:spacing w:line="360" w:lineRule="auto"/>
        <w:jc w:val="left"/>
        <w:outlineLvl w:val="1"/>
        <w:rPr>
          <w:rFonts w:ascii="宋体" w:hAnsi="宋体"/>
          <w:color w:val="auto"/>
          <w:szCs w:val="32"/>
          <w:highlight w:val="none"/>
        </w:rPr>
      </w:pPr>
    </w:p>
    <w:p w14:paraId="584F447F">
      <w:pPr>
        <w:adjustRightInd w:val="0"/>
        <w:snapToGrid w:val="0"/>
        <w:spacing w:line="360" w:lineRule="auto"/>
        <w:ind w:firstLine="420" w:firstLineChars="200"/>
        <w:outlineLvl w:val="1"/>
        <w:rPr>
          <w:rFonts w:ascii="宋体" w:hAnsi="宋体"/>
          <w:color w:val="auto"/>
          <w:szCs w:val="32"/>
          <w:highlight w:val="none"/>
        </w:rPr>
      </w:pPr>
      <w:r>
        <w:rPr>
          <w:rFonts w:hint="eastAsia" w:hAnsi="宋体" w:cs="宋体"/>
          <w:color w:val="auto"/>
          <w:kern w:val="0"/>
          <w:sz w:val="21"/>
          <w:szCs w:val="21"/>
          <w:highlight w:val="none"/>
          <w:lang w:val="en-US" w:eastAsia="zh-CN"/>
        </w:rPr>
        <w:t>丙</w:t>
      </w:r>
      <w:r>
        <w:rPr>
          <w:rFonts w:hint="eastAsia" w:ascii="宋体" w:hAnsi="宋体" w:eastAsia="宋体" w:cs="宋体"/>
          <w:color w:val="auto"/>
          <w:kern w:val="0"/>
          <w:sz w:val="21"/>
          <w:szCs w:val="21"/>
          <w:highlight w:val="none"/>
        </w:rPr>
        <w:t>方组织的</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rPr>
        <w:t>、（项目编号）招标活动，确认乙方为中标（成交）供应商。</w:t>
      </w:r>
      <w:r>
        <w:rPr>
          <w:rFonts w:ascii="宋体" w:hAnsi="宋体"/>
          <w:color w:val="auto"/>
          <w:szCs w:val="32"/>
          <w:highlight w:val="none"/>
        </w:rPr>
        <w:t>根据《中华人民共和国民法典》《中华人民共和国环境保护法》《中华人民共和国固体废物污染环境防治法》《危险废物转移联单管理办法》等法律、法规以及规章的规定，在平等、自愿、公平的基础上，经</w:t>
      </w:r>
      <w:r>
        <w:rPr>
          <w:rFonts w:hint="eastAsia" w:ascii="宋体" w:hAnsi="宋体" w:eastAsia="宋体" w:cs="宋体"/>
          <w:color w:val="auto"/>
          <w:sz w:val="21"/>
          <w:szCs w:val="21"/>
          <w:highlight w:val="none"/>
        </w:rPr>
        <w:t>经</w:t>
      </w:r>
      <w:r>
        <w:rPr>
          <w:rFonts w:hint="eastAsia" w:hAnsi="宋体" w:cs="宋体"/>
          <w:color w:val="auto"/>
          <w:sz w:val="21"/>
          <w:szCs w:val="21"/>
          <w:highlight w:val="none"/>
          <w:lang w:val="en-US" w:eastAsia="zh-CN"/>
        </w:rPr>
        <w:t>甲、乙、丙三</w:t>
      </w:r>
      <w:r>
        <w:rPr>
          <w:rFonts w:hint="eastAsia" w:ascii="宋体" w:hAnsi="宋体" w:eastAsia="宋体" w:cs="宋体"/>
          <w:color w:val="auto"/>
          <w:sz w:val="21"/>
          <w:szCs w:val="21"/>
          <w:highlight w:val="none"/>
        </w:rPr>
        <w:t>方协商，</w:t>
      </w:r>
      <w:r>
        <w:rPr>
          <w:rFonts w:ascii="宋体" w:hAnsi="宋体"/>
          <w:color w:val="auto"/>
          <w:szCs w:val="32"/>
          <w:highlight w:val="none"/>
        </w:rPr>
        <w:t>就甲方在生产和其他活动中产生的危险废物的收集、贮存、集中无害化处置等相关事宜达成以下合同条款，以供信守。</w:t>
      </w:r>
    </w:p>
    <w:p w14:paraId="014F99DB">
      <w:pPr>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第一条、合同概述</w:t>
      </w:r>
    </w:p>
    <w:p w14:paraId="1617A4B3">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1、甲方委托乙方将其产生的（包括其合法管理及代履行的）危险废物进行集中无害化处置，</w:t>
      </w:r>
      <w:r>
        <w:rPr>
          <w:rFonts w:ascii="宋体" w:hAnsi="宋体"/>
          <w:b/>
          <w:bCs/>
          <w:color w:val="auto"/>
          <w:szCs w:val="32"/>
          <w:highlight w:val="none"/>
        </w:rPr>
        <w:t>（处置方式：</w:t>
      </w:r>
      <w:r>
        <w:rPr>
          <w:rFonts w:hint="eastAsia" w:ascii="宋体" w:hAnsi="宋体"/>
          <w:b/>
          <w:bCs/>
          <w:color w:val="auto"/>
          <w:szCs w:val="32"/>
          <w:highlight w:val="none"/>
          <w:lang w:eastAsia="zh-CN"/>
        </w:rPr>
        <w:t>无害化焚烧及安全填埋</w:t>
      </w:r>
      <w:r>
        <w:rPr>
          <w:rFonts w:ascii="宋体" w:hAnsi="宋体"/>
          <w:b/>
          <w:bCs/>
          <w:color w:val="auto"/>
          <w:szCs w:val="32"/>
          <w:highlight w:val="none"/>
        </w:rPr>
        <w:t>）</w:t>
      </w:r>
      <w:r>
        <w:rPr>
          <w:rFonts w:ascii="宋体" w:hAnsi="宋体"/>
          <w:color w:val="auto"/>
          <w:szCs w:val="32"/>
          <w:highlight w:val="none"/>
        </w:rPr>
        <w:t>。使之达到国家有关环保法律、法规和技术规范之要求。</w:t>
      </w:r>
    </w:p>
    <w:p w14:paraId="39F487AA">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2、危险废物的种类、名称、组成、形态、数量及包装方式等具体内容详见附件：危险废物处置报价结算单。</w:t>
      </w:r>
    </w:p>
    <w:p w14:paraId="33CB8199">
      <w:pPr>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第二条：危废的计重及联单管理</w:t>
      </w:r>
    </w:p>
    <w:p w14:paraId="714A611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1、危险废物的计重应按甲方</w:t>
      </w:r>
      <w:r>
        <w:rPr>
          <w:rFonts w:hint="eastAsia" w:ascii="宋体" w:hAnsi="宋体"/>
          <w:color w:val="auto"/>
          <w:szCs w:val="32"/>
          <w:highlight w:val="none"/>
          <w:lang w:val="en-US" w:eastAsia="zh-CN"/>
        </w:rPr>
        <w:t>指定</w:t>
      </w:r>
      <w:r>
        <w:rPr>
          <w:rFonts w:ascii="宋体" w:hAnsi="宋体"/>
          <w:color w:val="auto"/>
          <w:szCs w:val="32"/>
          <w:highlight w:val="none"/>
        </w:rPr>
        <w:t>地磅免费称重为准，若乙方对甲方称重存在异议的可请技术监督局对甲方</w:t>
      </w:r>
      <w:r>
        <w:rPr>
          <w:rFonts w:hint="eastAsia" w:ascii="宋体" w:hAnsi="宋体"/>
          <w:color w:val="auto"/>
          <w:szCs w:val="32"/>
          <w:highlight w:val="none"/>
          <w:lang w:val="en-US" w:eastAsia="zh-CN"/>
        </w:rPr>
        <w:t>指定</w:t>
      </w:r>
      <w:r>
        <w:rPr>
          <w:rFonts w:ascii="宋体" w:hAnsi="宋体"/>
          <w:color w:val="auto"/>
          <w:szCs w:val="32"/>
          <w:highlight w:val="none"/>
        </w:rPr>
        <w:t>地磅进行重新标定，若标定结果甲方</w:t>
      </w:r>
      <w:r>
        <w:rPr>
          <w:rFonts w:hint="eastAsia" w:ascii="宋体" w:hAnsi="宋体"/>
          <w:color w:val="auto"/>
          <w:szCs w:val="32"/>
          <w:highlight w:val="none"/>
          <w:lang w:val="en-US" w:eastAsia="zh-CN"/>
        </w:rPr>
        <w:t>指定</w:t>
      </w:r>
      <w:r>
        <w:rPr>
          <w:rFonts w:ascii="宋体" w:hAnsi="宋体"/>
          <w:color w:val="auto"/>
          <w:szCs w:val="32"/>
          <w:highlight w:val="none"/>
        </w:rPr>
        <w:t>地磅在规范允许的误差范围之内，则标定费用由乙方承担，若标定结果甲方</w:t>
      </w:r>
      <w:r>
        <w:rPr>
          <w:rFonts w:hint="eastAsia" w:ascii="宋体" w:hAnsi="宋体"/>
          <w:color w:val="auto"/>
          <w:szCs w:val="32"/>
          <w:highlight w:val="none"/>
          <w:lang w:val="en-US" w:eastAsia="zh-CN"/>
        </w:rPr>
        <w:t>指定</w:t>
      </w:r>
      <w:r>
        <w:rPr>
          <w:rFonts w:ascii="宋体" w:hAnsi="宋体"/>
          <w:color w:val="auto"/>
          <w:szCs w:val="32"/>
          <w:highlight w:val="none"/>
        </w:rPr>
        <w:t>地磅超出规范允许的误差范围，则标定费用由甲方承担。</w:t>
      </w:r>
    </w:p>
    <w:p w14:paraId="6812E845">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2、危险废物的联单按如下方式进行管理：</w:t>
      </w:r>
    </w:p>
    <w:p w14:paraId="0E2707CD">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2.1、合同双方严格按照《危险废物转移联单管理办法》《危险废物名录》及相关法律法规规定办理危险废物转移联单。</w:t>
      </w:r>
    </w:p>
    <w:p w14:paraId="52C501D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2.2、经乙方确认接收后创建并如实填写相关信息，按照江苏省危险废物动态管理系统要求进行电子转移联单办理，合同双方应相互配合办理电子危险废物转移联单。</w:t>
      </w:r>
    </w:p>
    <w:p w14:paraId="5B8C8561">
      <w:pPr>
        <w:adjustRightInd w:val="0"/>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第三条、合同价款</w:t>
      </w:r>
    </w:p>
    <w:p w14:paraId="29EE60A0">
      <w:pPr>
        <w:spacing w:line="360" w:lineRule="auto"/>
        <w:ind w:firstLine="420" w:firstLineChars="200"/>
        <w:rPr>
          <w:rFonts w:hint="eastAsia" w:ascii="宋体" w:hAnsi="宋体" w:eastAsia="宋体" w:cs="宋体"/>
          <w:b w:val="0"/>
          <w:bCs/>
          <w:color w:val="auto"/>
          <w:sz w:val="21"/>
          <w:szCs w:val="21"/>
          <w:highlight w:val="none"/>
          <w:u w:val="none"/>
          <w:lang w:eastAsia="zh-CN"/>
        </w:rPr>
      </w:pPr>
      <w:r>
        <w:rPr>
          <w:rFonts w:hint="eastAsia" w:ascii="宋体" w:hAnsi="宋体" w:cs="宋体"/>
          <w:color w:val="auto"/>
          <w:sz w:val="21"/>
          <w:szCs w:val="21"/>
          <w:highlight w:val="none"/>
          <w:lang w:val="en-US" w:eastAsia="zh-CN"/>
        </w:rPr>
        <w:t>1、本项目</w:t>
      </w:r>
      <w:r>
        <w:rPr>
          <w:rFonts w:hint="eastAsia" w:ascii="宋体" w:hAnsi="宋体" w:eastAsia="宋体" w:cs="宋体"/>
          <w:b w:val="0"/>
          <w:bCs/>
          <w:color w:val="auto"/>
          <w:sz w:val="21"/>
          <w:szCs w:val="21"/>
          <w:highlight w:val="none"/>
        </w:rPr>
        <w:t>合同价格形式</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u w:val="none"/>
          <w:lang w:eastAsia="zh-CN"/>
        </w:rPr>
        <w:t>固定</w:t>
      </w:r>
      <w:r>
        <w:rPr>
          <w:rFonts w:hint="eastAsia" w:ascii="宋体" w:hAnsi="宋体" w:eastAsia="宋体" w:cs="宋体"/>
          <w:b w:val="0"/>
          <w:bCs/>
          <w:color w:val="auto"/>
          <w:sz w:val="21"/>
          <w:szCs w:val="21"/>
          <w:highlight w:val="none"/>
          <w:u w:val="none"/>
        </w:rPr>
        <w:t>单价合同</w:t>
      </w:r>
      <w:r>
        <w:rPr>
          <w:rFonts w:hint="eastAsia" w:ascii="宋体" w:hAnsi="宋体" w:eastAsia="宋体" w:cs="宋体"/>
          <w:b w:val="0"/>
          <w:bCs/>
          <w:color w:val="auto"/>
          <w:sz w:val="21"/>
          <w:szCs w:val="21"/>
          <w:highlight w:val="none"/>
          <w:u w:val="none"/>
          <w:lang w:eastAsia="zh-CN"/>
        </w:rPr>
        <w:t>。</w:t>
      </w:r>
    </w:p>
    <w:p w14:paraId="173E7F0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u w:val="none"/>
          <w:lang w:eastAsia="zh-CN"/>
        </w:rPr>
        <w:t>合同单价金额为：</w:t>
      </w:r>
      <w:r>
        <w:rPr>
          <w:rFonts w:hint="eastAsia" w:ascii="宋体" w:hAnsi="宋体"/>
          <w:bCs/>
          <w:color w:val="auto"/>
          <w:sz w:val="21"/>
          <w:szCs w:val="21"/>
          <w:highlight w:val="none"/>
        </w:rPr>
        <w:t>大写：</w:t>
      </w:r>
      <w:r>
        <w:rPr>
          <w:rFonts w:hint="eastAsia" w:ascii="宋体" w:hAnsi="宋体"/>
          <w:bCs/>
          <w:color w:val="auto"/>
          <w:sz w:val="21"/>
          <w:szCs w:val="21"/>
          <w:highlight w:val="none"/>
          <w:lang w:eastAsia="zh-CN"/>
        </w:rPr>
        <w:t>每吨</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w:t>
      </w:r>
      <w:r>
        <w:rPr>
          <w:rFonts w:hint="default" w:ascii="Arial" w:hAnsi="Arial" w:cs="Arial"/>
          <w:bCs/>
          <w:color w:val="auto"/>
          <w:sz w:val="21"/>
          <w:szCs w:val="21"/>
          <w:highlight w:val="none"/>
        </w:rPr>
        <w:t>¥</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元</w:t>
      </w:r>
      <w:r>
        <w:rPr>
          <w:rFonts w:hint="eastAsia" w:ascii="宋体" w:hAnsi="宋体"/>
          <w:bCs/>
          <w:color w:val="auto"/>
          <w:sz w:val="21"/>
          <w:szCs w:val="21"/>
          <w:highlight w:val="none"/>
          <w:lang w:val="en-US" w:eastAsia="zh-CN"/>
        </w:rPr>
        <w:t>/吨</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w:t>
      </w:r>
    </w:p>
    <w:p w14:paraId="2D2883D1">
      <w:pPr>
        <w:keepNext w:val="0"/>
        <w:keepLines w:val="0"/>
        <w:pageBreakBefore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eastAsia="zh-CN"/>
        </w:rPr>
        <w:t>总</w:t>
      </w:r>
      <w:r>
        <w:rPr>
          <w:rFonts w:hint="eastAsia" w:ascii="宋体" w:hAnsi="宋体" w:eastAsia="宋体" w:cs="宋体"/>
          <w:color w:val="auto"/>
          <w:sz w:val="21"/>
          <w:szCs w:val="21"/>
          <w:highlight w:val="none"/>
        </w:rPr>
        <w:t>价</w:t>
      </w:r>
      <w:r>
        <w:rPr>
          <w:rFonts w:hint="eastAsia" w:ascii="宋体" w:hAnsi="宋体" w:cs="宋体"/>
          <w:color w:val="auto"/>
          <w:sz w:val="21"/>
          <w:szCs w:val="21"/>
          <w:highlight w:val="none"/>
          <w:lang w:eastAsia="zh-CN"/>
        </w:rPr>
        <w:t>（暂定）为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元（含税、含运费）</w:t>
      </w:r>
      <w:r>
        <w:rPr>
          <w:rFonts w:hint="eastAsia" w:ascii="宋体" w:hAnsi="宋体" w:cs="宋体"/>
          <w:color w:val="auto"/>
          <w:sz w:val="21"/>
          <w:szCs w:val="21"/>
          <w:highlight w:val="none"/>
          <w:lang w:eastAsia="zh-CN"/>
        </w:rPr>
        <w:t>，</w:t>
      </w:r>
      <w:r>
        <w:rPr>
          <w:rFonts w:hint="eastAsia" w:ascii="宋体" w:hAnsi="宋体" w:cs="宋体"/>
          <w:b w:val="0"/>
          <w:bCs w:val="0"/>
          <w:color w:val="auto"/>
          <w:sz w:val="21"/>
          <w:szCs w:val="21"/>
          <w:highlight w:val="none"/>
          <w:lang w:eastAsia="zh-CN"/>
        </w:rPr>
        <w:t>最终实际</w:t>
      </w:r>
      <w:r>
        <w:rPr>
          <w:rFonts w:hint="eastAsia" w:ascii="宋体" w:hAnsi="宋体" w:eastAsia="宋体" w:cs="宋体"/>
          <w:b w:val="0"/>
          <w:bCs w:val="0"/>
          <w:color w:val="auto"/>
          <w:sz w:val="21"/>
          <w:szCs w:val="21"/>
          <w:highlight w:val="none"/>
        </w:rPr>
        <w:t>金额以经甲乙双方核准的</w:t>
      </w:r>
      <w:r>
        <w:rPr>
          <w:rFonts w:hint="eastAsia" w:ascii="宋体" w:hAnsi="宋体" w:cs="宋体"/>
          <w:b w:val="0"/>
          <w:bCs w:val="0"/>
          <w:color w:val="auto"/>
          <w:sz w:val="21"/>
          <w:szCs w:val="21"/>
          <w:highlight w:val="none"/>
          <w:lang w:val="en-US" w:eastAsia="zh-CN"/>
        </w:rPr>
        <w:t>危废</w:t>
      </w:r>
      <w:r>
        <w:rPr>
          <w:rFonts w:hint="eastAsia" w:ascii="宋体" w:hAnsi="宋体" w:eastAsia="宋体" w:cs="宋体"/>
          <w:b w:val="0"/>
          <w:bCs w:val="0"/>
          <w:color w:val="auto"/>
          <w:sz w:val="21"/>
          <w:szCs w:val="21"/>
          <w:highlight w:val="none"/>
        </w:rPr>
        <w:t>重量</w:t>
      </w:r>
      <w:r>
        <w:rPr>
          <w:rFonts w:hint="eastAsia" w:ascii="宋体" w:hAnsi="宋体" w:cs="宋体"/>
          <w:b w:val="0"/>
          <w:bCs w:val="0"/>
          <w:color w:val="auto"/>
          <w:sz w:val="21"/>
          <w:szCs w:val="21"/>
          <w:highlight w:val="none"/>
          <w:lang w:eastAsia="zh-CN"/>
        </w:rPr>
        <w:t>乘以单价得出的金额</w:t>
      </w:r>
      <w:r>
        <w:rPr>
          <w:rFonts w:hint="eastAsia" w:ascii="宋体" w:hAnsi="宋体" w:eastAsia="宋体" w:cs="宋体"/>
          <w:b w:val="0"/>
          <w:bCs w:val="0"/>
          <w:color w:val="auto"/>
          <w:sz w:val="21"/>
          <w:szCs w:val="21"/>
          <w:highlight w:val="none"/>
        </w:rPr>
        <w:t>为准（实际过磅数量），采购人有权根据实际情况进行增减。</w:t>
      </w:r>
    </w:p>
    <w:p w14:paraId="5E7B4C44">
      <w:pPr>
        <w:adjustRightInd w:val="0"/>
        <w:snapToGrid w:val="0"/>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sz w:val="21"/>
          <w:szCs w:val="21"/>
          <w:highlight w:val="none"/>
          <w:lang w:eastAsia="zh-CN"/>
        </w:rPr>
        <w:t>合同单价价格</w:t>
      </w:r>
      <w:r>
        <w:rPr>
          <w:rFonts w:hint="eastAsia" w:ascii="宋体" w:hAnsi="宋体" w:cs="宋体"/>
          <w:color w:val="auto"/>
          <w:sz w:val="21"/>
          <w:szCs w:val="21"/>
          <w:highlight w:val="none"/>
        </w:rPr>
        <w:t>包括但不限于</w:t>
      </w:r>
      <w:r>
        <w:rPr>
          <w:rFonts w:hint="eastAsia" w:ascii="宋体" w:hAnsi="宋体" w:cs="宋体"/>
          <w:color w:val="auto"/>
          <w:kern w:val="0"/>
          <w:sz w:val="21"/>
          <w:szCs w:val="21"/>
          <w:highlight w:val="none"/>
        </w:rPr>
        <w:t>对本项目</w:t>
      </w:r>
      <w:r>
        <w:rPr>
          <w:rFonts w:hint="eastAsia" w:ascii="宋体" w:hAnsi="宋体" w:cs="宋体"/>
          <w:color w:val="auto"/>
          <w:kern w:val="0"/>
          <w:sz w:val="21"/>
          <w:szCs w:val="21"/>
          <w:highlight w:val="none"/>
          <w:lang w:eastAsia="zh-CN"/>
        </w:rPr>
        <w:t>每吨危废的处置</w:t>
      </w:r>
      <w:r>
        <w:rPr>
          <w:rFonts w:hint="eastAsia" w:ascii="宋体" w:hAnsi="宋体" w:cs="宋体"/>
          <w:color w:val="auto"/>
          <w:kern w:val="0"/>
          <w:sz w:val="21"/>
          <w:szCs w:val="21"/>
          <w:highlight w:val="none"/>
        </w:rPr>
        <w:t>及其伴随服务各项支付金额的总和。上述</w:t>
      </w:r>
      <w:r>
        <w:rPr>
          <w:rFonts w:hint="eastAsia" w:ascii="宋体" w:hAnsi="宋体" w:cs="宋体"/>
          <w:color w:val="auto"/>
          <w:kern w:val="0"/>
          <w:sz w:val="21"/>
          <w:szCs w:val="21"/>
          <w:highlight w:val="none"/>
          <w:lang w:eastAsia="zh-CN"/>
        </w:rPr>
        <w:t>单价</w:t>
      </w:r>
      <w:r>
        <w:rPr>
          <w:rFonts w:hint="eastAsia" w:ascii="宋体" w:hAnsi="宋体" w:cs="宋体"/>
          <w:color w:val="auto"/>
          <w:kern w:val="0"/>
          <w:sz w:val="21"/>
          <w:szCs w:val="21"/>
          <w:highlight w:val="none"/>
        </w:rPr>
        <w:t>金额包括但不限于服务人员的工资、国家规定的所有管理服务人员的社会保险、人身意外险、福利、培训、以及服务所用设备、工具购置及维修费用、服务所用材料消耗费用、运输、装卸、现场清扫、管理费用、利润、税金（需提供甲方要求的增值税专用发票）、政策性文件规定及合同包含的所有风险(包括但不限于遇最低工资调整、物价上涨、重大活动、检查、突发情况、税费调整等)、责任等各项应有费用。同时还应充分考虑市场风险、国家政策性调整风险系数以及承担的义务、责任、风险等一切因素、不可预见费及其他一切相关费用等全部费用</w:t>
      </w:r>
      <w:r>
        <w:rPr>
          <w:rFonts w:hint="eastAsia" w:ascii="宋体" w:hAnsi="宋体" w:cs="宋体"/>
          <w:color w:val="auto"/>
          <w:kern w:val="0"/>
          <w:sz w:val="21"/>
          <w:szCs w:val="21"/>
          <w:highlight w:val="none"/>
          <w:lang w:eastAsia="zh-CN"/>
        </w:rPr>
        <w:t>。</w:t>
      </w:r>
    </w:p>
    <w:p w14:paraId="615D9BB2">
      <w:pPr>
        <w:keepNext w:val="0"/>
        <w:keepLines w:val="0"/>
        <w:pageBreakBefore w:val="0"/>
        <w:kinsoku/>
        <w:wordWrap/>
        <w:overflowPunct/>
        <w:topLinePunct w:val="0"/>
        <w:bidi w:val="0"/>
        <w:adjustRightInd w:val="0"/>
        <w:snapToGrid w:val="0"/>
        <w:spacing w:line="360" w:lineRule="auto"/>
        <w:ind w:firstLine="420" w:firstLineChars="200"/>
        <w:textAlignment w:val="auto"/>
        <w:outlineLvl w:val="1"/>
        <w:rPr>
          <w:rFonts w:ascii="仿宋" w:hAnsi="仿宋" w:eastAsia="仿宋" w:cs="仿宋"/>
          <w:color w:val="auto"/>
          <w:szCs w:val="32"/>
          <w:highlight w:val="none"/>
        </w:rPr>
      </w:pPr>
      <w:r>
        <w:rPr>
          <w:rFonts w:hint="eastAsia" w:ascii="宋体" w:hAnsi="宋体" w:eastAsia="宋体" w:cs="宋体"/>
          <w:color w:val="auto"/>
          <w:sz w:val="21"/>
          <w:szCs w:val="21"/>
          <w:highlight w:val="none"/>
        </w:rPr>
        <w:t>付款方式：</w:t>
      </w:r>
      <w:r>
        <w:rPr>
          <w:rFonts w:ascii="宋体" w:hAnsi="宋体"/>
          <w:b/>
          <w:bCs/>
          <w:color w:val="auto"/>
          <w:szCs w:val="32"/>
          <w:highlight w:val="none"/>
        </w:rPr>
        <w:t>按照</w:t>
      </w:r>
      <w:r>
        <w:rPr>
          <w:rFonts w:hint="eastAsia" w:ascii="宋体" w:hAnsi="宋体"/>
          <w:b/>
          <w:bCs/>
          <w:color w:val="auto"/>
          <w:szCs w:val="32"/>
          <w:highlight w:val="none"/>
          <w:lang w:val="en-US" w:eastAsia="zh-CN"/>
        </w:rPr>
        <w:t>每月</w:t>
      </w:r>
      <w:r>
        <w:rPr>
          <w:rFonts w:ascii="宋体" w:hAnsi="宋体"/>
          <w:b/>
          <w:bCs/>
          <w:color w:val="auto"/>
          <w:szCs w:val="32"/>
          <w:highlight w:val="none"/>
        </w:rPr>
        <w:t>实际接收的废物数量（以《废物转移联单》中数量为准）</w:t>
      </w:r>
      <w:r>
        <w:rPr>
          <w:rFonts w:hint="eastAsia" w:ascii="宋体" w:hAnsi="宋体"/>
          <w:b/>
          <w:bCs/>
          <w:color w:val="auto"/>
          <w:szCs w:val="32"/>
          <w:highlight w:val="none"/>
          <w:lang w:val="en-US" w:eastAsia="zh-CN"/>
        </w:rPr>
        <w:t>次月</w:t>
      </w:r>
      <w:r>
        <w:rPr>
          <w:rFonts w:ascii="宋体" w:hAnsi="宋体"/>
          <w:b/>
          <w:bCs/>
          <w:color w:val="auto"/>
          <w:szCs w:val="32"/>
          <w:highlight w:val="none"/>
        </w:rPr>
        <w:t>结算处置服务费用，乙方根据实际</w:t>
      </w:r>
      <w:r>
        <w:rPr>
          <w:rFonts w:hint="eastAsia" w:ascii="宋体" w:hAnsi="宋体"/>
          <w:b/>
          <w:bCs/>
          <w:color w:val="auto"/>
          <w:szCs w:val="32"/>
          <w:highlight w:val="none"/>
          <w:lang w:val="en-US" w:eastAsia="zh-CN"/>
        </w:rPr>
        <w:t>接收的</w:t>
      </w:r>
      <w:r>
        <w:rPr>
          <w:rFonts w:ascii="宋体" w:hAnsi="宋体"/>
          <w:b/>
          <w:bCs/>
          <w:color w:val="auto"/>
          <w:szCs w:val="32"/>
          <w:highlight w:val="none"/>
        </w:rPr>
        <w:t>重量开具相关处置费发票。</w:t>
      </w:r>
    </w:p>
    <w:p w14:paraId="41F424DF">
      <w:pPr>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第四条、甲方</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丙方</w:t>
      </w:r>
      <w:r>
        <w:rPr>
          <w:rFonts w:hint="eastAsia" w:ascii="宋体" w:hAnsi="宋体" w:eastAsia="宋体" w:cs="宋体"/>
          <w:b/>
          <w:color w:val="auto"/>
          <w:sz w:val="24"/>
          <w:szCs w:val="24"/>
          <w:highlight w:val="none"/>
        </w:rPr>
        <w:t>的权利义务</w:t>
      </w:r>
    </w:p>
    <w:p w14:paraId="246153D4">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1、甲方负责办理甲方所在地环保部门《危险废物转移联单》等废物转移相关手续，和跨省转移手续等相关事宜（若需要）。</w:t>
      </w:r>
    </w:p>
    <w:p w14:paraId="017C99B6">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2、甲方安排相关负责人员主要负责危险废物的交接工作，严格按照《危险废物转移联单》制度执行；甲方保证提供给乙方的危险废物不出现下列异常情况：</w:t>
      </w:r>
    </w:p>
    <w:p w14:paraId="15598BB6">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 xml:space="preserve">（1）危险废物品种未列入本合同；     </w:t>
      </w:r>
    </w:p>
    <w:p w14:paraId="044755FF">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w:t>
      </w:r>
      <w:r>
        <w:rPr>
          <w:rFonts w:ascii="等线" w:hAnsi="等线" w:eastAsia="等线"/>
          <w:color w:val="auto"/>
          <w:szCs w:val="32"/>
          <w:highlight w:val="none"/>
        </w:rPr>
        <w:t>2</w:t>
      </w:r>
      <w:r>
        <w:rPr>
          <w:rFonts w:ascii="宋体" w:hAnsi="宋体"/>
          <w:color w:val="auto"/>
          <w:szCs w:val="32"/>
          <w:highlight w:val="none"/>
        </w:rPr>
        <w:t>）两类及以上危险废物混合包装；</w:t>
      </w:r>
    </w:p>
    <w:p w14:paraId="58143D76">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w:t>
      </w:r>
      <w:r>
        <w:rPr>
          <w:rFonts w:ascii="等线" w:hAnsi="等线" w:eastAsia="等线"/>
          <w:color w:val="auto"/>
          <w:szCs w:val="32"/>
          <w:highlight w:val="none"/>
        </w:rPr>
        <w:t>3</w:t>
      </w:r>
      <w:r>
        <w:rPr>
          <w:rFonts w:ascii="宋体" w:hAnsi="宋体"/>
          <w:color w:val="auto"/>
          <w:szCs w:val="32"/>
          <w:highlight w:val="none"/>
        </w:rPr>
        <w:t>）其他违反国家危险废物包装、运输标准及通用技术条件的异常情况。</w:t>
      </w:r>
    </w:p>
    <w:p w14:paraId="551DE714">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甲方负责提供危险废物名称、危险成分、特性、应急防护措施、产废工艺及产废节点说明等资料，详见附件3《危险废物调查表》；甲方应保证其实际交付的危险废物的种类、组成、形态等事项与本合同或变更、补充约定的事项一致，若因甲方未如实告知，导致乙方在运输和处置过程中引起损失和事故的，甲方应承担全部责任。</w:t>
      </w:r>
    </w:p>
    <w:p w14:paraId="3E569672">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4、甲方应积极配合危险废物的</w:t>
      </w:r>
      <w:r>
        <w:rPr>
          <w:rFonts w:ascii="宋体" w:hAnsi="宋体" w:cs="宋体"/>
          <w:color w:val="auto"/>
          <w:szCs w:val="32"/>
          <w:highlight w:val="none"/>
        </w:rPr>
        <w:t>清挖、装运、处置</w:t>
      </w:r>
      <w:r>
        <w:rPr>
          <w:rFonts w:ascii="宋体" w:hAnsi="宋体"/>
          <w:color w:val="auto"/>
          <w:szCs w:val="32"/>
          <w:highlight w:val="none"/>
        </w:rPr>
        <w:t>等工作</w:t>
      </w:r>
      <w:r>
        <w:rPr>
          <w:rFonts w:ascii="宋体" w:hAnsi="宋体" w:cs="宋体"/>
          <w:color w:val="auto"/>
          <w:szCs w:val="32"/>
          <w:highlight w:val="none"/>
        </w:rPr>
        <w:t>，费用由乙方承担</w:t>
      </w:r>
      <w:r>
        <w:rPr>
          <w:rFonts w:ascii="宋体" w:hAnsi="宋体"/>
          <w:color w:val="auto"/>
          <w:szCs w:val="32"/>
          <w:highlight w:val="none"/>
        </w:rPr>
        <w:t>。</w:t>
      </w:r>
    </w:p>
    <w:p w14:paraId="7902B78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5、甲方进入乙方厂区范围内，应当遵守乙方厂区的相关管理规定。</w:t>
      </w:r>
    </w:p>
    <w:p w14:paraId="117B1A03">
      <w:pPr>
        <w:pStyle w:val="2"/>
        <w:rPr>
          <w:rFonts w:hint="default" w:eastAsia="宋体"/>
          <w:color w:val="auto"/>
          <w:highlight w:val="none"/>
          <w:lang w:val="en-US" w:eastAsia="zh-CN"/>
        </w:rPr>
      </w:pPr>
      <w:r>
        <w:rPr>
          <w:rFonts w:hint="eastAsia"/>
          <w:color w:val="auto"/>
          <w:szCs w:val="32"/>
          <w:highlight w:val="none"/>
          <w:lang w:val="en-US" w:eastAsia="zh-CN"/>
        </w:rPr>
        <w:t xml:space="preserve">  6、丙方为甲方的主管方。</w:t>
      </w:r>
    </w:p>
    <w:p w14:paraId="76AB8322">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第五条、乙方的权利与义务</w:t>
      </w:r>
    </w:p>
    <w:p w14:paraId="11928DCC">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1、乙方负责办理乙方所在地环保部门《危险废物转移联单》及危险废物处理的相关手续。</w:t>
      </w:r>
    </w:p>
    <w:p w14:paraId="21E9F131">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2、乙方需向甲方提供有效的、与甲方废物相关的废物处置资质证明。</w:t>
      </w:r>
    </w:p>
    <w:p w14:paraId="6D83E807">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3、乙方确保在接收甲方废物后不产生对环境的二次污染，危废处置符合国家相关技术要求。</w:t>
      </w:r>
    </w:p>
    <w:p w14:paraId="2824D88B">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乙方在与甲方进行危险废物交接过程中，应对甲方的危险废物进行初验，认为包装或盛装不完善有可能导致安全、环保事故发生的，乙方应予以重新包装、处理；所产生的费用由乙方承担；危险废物包装应符合但不限于GB18597-2001《危险废物贮存污染控制标准》、GB12463-2009《危险货物运输包装通用技术条件》、HJ 2025-2012 《危险废物收集贮存运输技术规范》。</w:t>
      </w:r>
    </w:p>
    <w:p w14:paraId="05CD1B6B">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（1）禁止不相容危废在同一容器混装。</w:t>
      </w:r>
    </w:p>
    <w:p w14:paraId="199C363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（2）盛装危险废物的容器材质和衬里与危险废物相容。</w:t>
      </w:r>
    </w:p>
    <w:p w14:paraId="5661A999">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（3）盛装危险废物的容器必须有标识，且符合规范。</w:t>
      </w:r>
    </w:p>
    <w:p w14:paraId="40DDF751">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（4）容器、包装必须完好无损,密封严密。</w:t>
      </w:r>
    </w:p>
    <w:p w14:paraId="656DFBE1">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（5）容器和材质符合强度标准。</w:t>
      </w:r>
    </w:p>
    <w:p w14:paraId="4C2446A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（6）装载液体和半固体的容器须留足够空间，容器顶部与液体表面留100mm以上的空间。</w:t>
      </w:r>
    </w:p>
    <w:p w14:paraId="1AE1E38F">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（7）危险废物标识标签必须按规范要求如实填写、粘贴。</w:t>
      </w:r>
    </w:p>
    <w:p w14:paraId="7515386E">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5、乙方应对交接的危险废物成分进行核实，如不进行核实，运出厂区则视同认可。如危险废物成分与样品相符度不低于90%，则视同相符，如若不一致双方应先行协商，若双方未达成共识乙方有权拒绝接受；若甲方对乙方检测数据存在异议，甲方现场取样委托有资质的第三方进行复检，费用自理；</w:t>
      </w:r>
    </w:p>
    <w:p w14:paraId="69BDA059">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6、乙方或运输人员进入甲方厂区范围内，应当遵守甲方厂区的相关管理规定，保证运输车辆整洁进入厂区，并且根据双方商定的运输时间、线路和运量清运甲方储存的危险废物，并采取相应的安全防范措施，确保运输安全。</w:t>
      </w:r>
    </w:p>
    <w:p w14:paraId="7B593D01">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7、危险废物装车</w:t>
      </w:r>
      <w:r>
        <w:rPr>
          <w:rFonts w:ascii="宋体" w:hAnsi="宋体" w:cs="宋体"/>
          <w:color w:val="auto"/>
          <w:szCs w:val="32"/>
          <w:highlight w:val="none"/>
        </w:rPr>
        <w:t>、运输过程中的安全由乙方负责，甲方不承担责任。</w:t>
      </w:r>
    </w:p>
    <w:p w14:paraId="040CA6C3">
      <w:pPr>
        <w:pStyle w:val="24"/>
        <w:numPr>
          <w:ilvl w:val="0"/>
          <w:numId w:val="0"/>
        </w:numPr>
        <w:spacing w:before="120" w:beforeAutospacing="0" w:after="120" w:afterAutospacing="0" w:line="240" w:lineRule="auto"/>
        <w:jc w:val="both"/>
        <w:rPr>
          <w:rFonts w:hint="eastAsia" w:ascii="宋体" w:hAnsi="宋体" w:eastAsia="宋体" w:cs="宋体"/>
          <w:color w:val="auto"/>
          <w:sz w:val="22"/>
          <w:szCs w:val="22"/>
          <w:highlight w:val="none"/>
        </w:rPr>
      </w:pPr>
      <w:r>
        <w:rPr>
          <w:rFonts w:hint="eastAsia" w:ascii="宋体" w:hAnsi="宋体" w:cs="宋体"/>
          <w:b/>
          <w:bCs/>
          <w:color w:val="auto"/>
          <w:sz w:val="24"/>
          <w:szCs w:val="24"/>
          <w:highlight w:val="none"/>
          <w:lang w:val="en-US" w:eastAsia="zh-CN"/>
        </w:rPr>
        <w:t>第六条</w:t>
      </w:r>
      <w:r>
        <w:rPr>
          <w:rFonts w:hint="eastAsia" w:cs="宋体"/>
          <w:b/>
          <w:bCs/>
          <w:color w:val="auto"/>
          <w:sz w:val="24"/>
          <w:szCs w:val="24"/>
          <w:highlight w:val="none"/>
          <w:lang w:val="en-US" w:eastAsia="zh-CN"/>
        </w:rPr>
        <w:t>、</w:t>
      </w:r>
      <w:r>
        <w:rPr>
          <w:rFonts w:hint="eastAsia" w:ascii="宋体" w:hAnsi="宋体" w:eastAsia="宋体" w:cs="宋体"/>
          <w:b/>
          <w:color w:val="auto"/>
          <w:sz w:val="22"/>
          <w:szCs w:val="22"/>
          <w:highlight w:val="none"/>
        </w:rPr>
        <w:t>履约保证金</w:t>
      </w:r>
    </w:p>
    <w:p w14:paraId="7CCF9D22">
      <w:pPr>
        <w:pStyle w:val="24"/>
        <w:numPr>
          <w:ilvl w:val="0"/>
          <w:numId w:val="0"/>
        </w:numPr>
        <w:spacing w:before="120" w:beforeAutospacing="0" w:after="120" w:afterAutospacing="0" w:line="240" w:lineRule="auto"/>
        <w:ind w:leftChars="20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1、履约保证金为中标价的5%</w:t>
      </w:r>
      <w:r>
        <w:rPr>
          <w:rFonts w:hint="eastAsia" w:ascii="宋体" w:hAnsi="宋体" w:eastAsia="宋体" w:cs="宋体"/>
          <w:color w:val="auto"/>
          <w:sz w:val="21"/>
          <w:szCs w:val="21"/>
          <w:highlight w:val="none"/>
        </w:rPr>
        <w:t>。</w:t>
      </w:r>
    </w:p>
    <w:p w14:paraId="235ADC4B">
      <w:pPr>
        <w:pStyle w:val="24"/>
        <w:numPr>
          <w:ilvl w:val="0"/>
          <w:numId w:val="0"/>
        </w:numPr>
        <w:spacing w:before="120" w:beforeAutospacing="0" w:after="120" w:afterAutospacing="0"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履约保证金在合同履约完毕后一次性退还（无息）。如果未能按合同、招标投标文件履约的，中止合同，履约保证金不予退还。</w:t>
      </w:r>
    </w:p>
    <w:p w14:paraId="6D912B2B">
      <w:pPr>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不予退还情形：</w:t>
      </w:r>
    </w:p>
    <w:p w14:paraId="1A2673EC">
      <w:pPr>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除不可抗力情况外，投标人出现下列情形之一的，其履约保证金，</w:t>
      </w:r>
      <w:r>
        <w:rPr>
          <w:rFonts w:hint="eastAsia" w:ascii="宋体" w:hAnsi="宋体" w:eastAsia="宋体" w:cs="宋体"/>
          <w:b/>
          <w:bCs/>
          <w:color w:val="auto"/>
          <w:sz w:val="21"/>
          <w:szCs w:val="21"/>
          <w:highlight w:val="none"/>
          <w:lang w:val="en-US" w:eastAsia="zh-CN"/>
        </w:rPr>
        <w:t>甲方</w:t>
      </w:r>
      <w:r>
        <w:rPr>
          <w:rFonts w:hint="eastAsia" w:ascii="宋体" w:hAnsi="宋体" w:eastAsia="宋体" w:cs="宋体"/>
          <w:b/>
          <w:bCs/>
          <w:color w:val="auto"/>
          <w:sz w:val="21"/>
          <w:szCs w:val="21"/>
          <w:highlight w:val="none"/>
        </w:rPr>
        <w:t>将不予退还。</w:t>
      </w:r>
    </w:p>
    <w:p w14:paraId="0DEBB038">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无正当理由拒绝签订合同的，或者在签订合同时向</w:t>
      </w:r>
      <w:r>
        <w:rPr>
          <w:rFonts w:hint="eastAsia" w:ascii="宋体" w:hAnsi="宋体" w:eastAsia="宋体" w:cs="宋体"/>
          <w:b/>
          <w:bCs/>
          <w:color w:val="auto"/>
          <w:sz w:val="21"/>
          <w:szCs w:val="21"/>
          <w:highlight w:val="none"/>
          <w:lang w:val="en-US" w:eastAsia="zh-CN"/>
        </w:rPr>
        <w:t>甲方</w:t>
      </w:r>
      <w:r>
        <w:rPr>
          <w:rFonts w:hint="eastAsia" w:ascii="宋体" w:hAnsi="宋体" w:eastAsia="宋体" w:cs="宋体"/>
          <w:b/>
          <w:bCs/>
          <w:color w:val="auto"/>
          <w:sz w:val="21"/>
          <w:szCs w:val="21"/>
          <w:highlight w:val="none"/>
        </w:rPr>
        <w:t>提出附加条件或者更改合同实质性内容要求的；</w:t>
      </w:r>
    </w:p>
    <w:p w14:paraId="26672434">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不履行与</w:t>
      </w:r>
      <w:r>
        <w:rPr>
          <w:rFonts w:hint="eastAsia" w:ascii="宋体" w:hAnsi="宋体" w:eastAsia="宋体" w:cs="宋体"/>
          <w:b/>
          <w:bCs/>
          <w:color w:val="auto"/>
          <w:sz w:val="21"/>
          <w:szCs w:val="21"/>
          <w:highlight w:val="none"/>
          <w:lang w:val="en-US" w:eastAsia="zh-CN"/>
        </w:rPr>
        <w:t>甲方</w:t>
      </w:r>
      <w:r>
        <w:rPr>
          <w:rFonts w:hint="eastAsia" w:ascii="宋体" w:hAnsi="宋体" w:eastAsia="宋体" w:cs="宋体"/>
          <w:b/>
          <w:bCs/>
          <w:color w:val="auto"/>
          <w:sz w:val="21"/>
          <w:szCs w:val="21"/>
          <w:highlight w:val="none"/>
        </w:rPr>
        <w:t>订立的合同的；</w:t>
      </w:r>
    </w:p>
    <w:p w14:paraId="2517462D">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所供货物或服务不符合招标文件规定要求的；</w:t>
      </w:r>
    </w:p>
    <w:p w14:paraId="70419A00">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采取欺骗、弄虚作假方式投标的或与其它投标人串通投标的；</w:t>
      </w:r>
    </w:p>
    <w:p w14:paraId="1E382489">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将合同内容转包、违法分包的；</w:t>
      </w:r>
    </w:p>
    <w:p w14:paraId="6600F4C7">
      <w:pPr>
        <w:spacing w:line="360" w:lineRule="auto"/>
        <w:ind w:firstLine="211"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乙方</w:t>
      </w:r>
      <w:r>
        <w:rPr>
          <w:rFonts w:hint="eastAsia" w:ascii="宋体" w:hAnsi="宋体" w:eastAsia="宋体" w:cs="宋体"/>
          <w:b/>
          <w:bCs/>
          <w:color w:val="auto"/>
          <w:sz w:val="21"/>
          <w:szCs w:val="21"/>
          <w:highlight w:val="none"/>
        </w:rPr>
        <w:t>故意捏造事实或伪造证明材料，进行虚假恶意投诉或反映的。</w:t>
      </w:r>
    </w:p>
    <w:p w14:paraId="42C72EA4">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条、危险废物运输</w:t>
      </w:r>
    </w:p>
    <w:p w14:paraId="5E546D6F">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1、危险废物的运输工作由乙方负责，乙方确保运输公司及其车辆按照危险废物运输管理相关要求合法合规，乙方负责将相关运输公司及车辆资质材料提供给甲方备案。</w:t>
      </w:r>
    </w:p>
    <w:p w14:paraId="77E0558D">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2、乙方负责将危废安全的运输至处置地点，</w:t>
      </w:r>
      <w:r>
        <w:rPr>
          <w:rFonts w:ascii="宋体" w:hAnsi="宋体" w:cs="宋体"/>
          <w:color w:val="auto"/>
          <w:szCs w:val="32"/>
          <w:highlight w:val="none"/>
        </w:rPr>
        <w:t>运输前期</w:t>
      </w:r>
      <w:r>
        <w:rPr>
          <w:rFonts w:ascii="宋体" w:hAnsi="宋体" w:eastAsia="宋体" w:cs="宋体"/>
          <w:color w:val="auto"/>
          <w:szCs w:val="32"/>
          <w:highlight w:val="none"/>
        </w:rPr>
        <w:t>、</w:t>
      </w:r>
      <w:bookmarkStart w:id="144" w:name="_Hlk159246319"/>
      <w:r>
        <w:rPr>
          <w:rFonts w:hint="default" w:ascii="宋体" w:hAnsi="宋体" w:eastAsia="宋体" w:cs="宋体"/>
          <w:color w:val="auto"/>
          <w:szCs w:val="32"/>
          <w:highlight w:val="none"/>
        </w:rPr>
        <w:t>装车等相关工作</w:t>
      </w:r>
      <w:r>
        <w:rPr>
          <w:rFonts w:ascii="宋体" w:hAnsi="宋体" w:eastAsia="宋体" w:cs="宋体"/>
          <w:color w:val="auto"/>
          <w:szCs w:val="32"/>
          <w:highlight w:val="none"/>
        </w:rPr>
        <w:t>的</w:t>
      </w:r>
      <w:r>
        <w:rPr>
          <w:rFonts w:hint="default" w:ascii="宋体" w:hAnsi="宋体" w:eastAsia="宋体" w:cs="宋体"/>
          <w:color w:val="auto"/>
          <w:szCs w:val="32"/>
          <w:highlight w:val="none"/>
        </w:rPr>
        <w:t>所有费用由乙方承担。</w:t>
      </w:r>
      <w:bookmarkEnd w:id="144"/>
    </w:p>
    <w:p w14:paraId="6066071D">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3、危险废物移交乙方之前发生安全环保事故责任由甲方承担；危险废物在</w:t>
      </w:r>
      <w:r>
        <w:rPr>
          <w:rFonts w:ascii="宋体" w:hAnsi="宋体" w:cs="宋体"/>
          <w:color w:val="auto"/>
          <w:szCs w:val="32"/>
          <w:highlight w:val="none"/>
        </w:rPr>
        <w:t>装车及运输途中以及转运至乙方厂区后发生安全环保事故责任由乙方承担。</w:t>
      </w:r>
    </w:p>
    <w:p w14:paraId="12746123">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条、违约责任</w:t>
      </w:r>
    </w:p>
    <w:p w14:paraId="0B39C731">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1、甲方未经乙方书面同意，将本协议约定的废物交由第三方进行处理，甲方按实际交第三方处理量的处置费承担违约金。</w:t>
      </w:r>
    </w:p>
    <w:p w14:paraId="2D6CF9B6">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2、乙方须在规定时间内处置完成，如未在规定时间内处置完成须向甲方支付违约金，在</w:t>
      </w:r>
      <w:r>
        <w:rPr>
          <w:rFonts w:ascii="宋体" w:hAnsi="宋体" w:cs="宋体"/>
          <w:color w:val="auto"/>
          <w:szCs w:val="32"/>
          <w:highlight w:val="none"/>
        </w:rPr>
        <w:t>履约保证金</w:t>
      </w:r>
      <w:r>
        <w:rPr>
          <w:rFonts w:ascii="宋体" w:hAnsi="宋体"/>
          <w:color w:val="auto"/>
          <w:szCs w:val="32"/>
          <w:highlight w:val="none"/>
        </w:rPr>
        <w:t>中扣</w:t>
      </w:r>
      <w:r>
        <w:rPr>
          <w:rFonts w:ascii="宋体" w:hAnsi="宋体" w:cs="宋体"/>
          <w:color w:val="auto"/>
          <w:szCs w:val="32"/>
          <w:highlight w:val="none"/>
        </w:rPr>
        <w:t>除（如履约保证金不足可以在处置费用中扣除）。违约金计算标准：每逾期1日按合同总金额的1%计算</w:t>
      </w:r>
      <w:r>
        <w:rPr>
          <w:rFonts w:ascii="宋体" w:hAnsi="宋体"/>
          <w:color w:val="auto"/>
          <w:szCs w:val="32"/>
          <w:highlight w:val="none"/>
        </w:rPr>
        <w:t>。</w:t>
      </w:r>
    </w:p>
    <w:p w14:paraId="689D912E">
      <w:pPr>
        <w:adjustRightInd w:val="0"/>
        <w:snapToGri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条：地址及送达</w:t>
      </w:r>
    </w:p>
    <w:p w14:paraId="3BB2FE12">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本合同所载甲方注册地址和/或住址（或/和危险废物起运地址）及联系电话均系甲方已经确认的联系地址及联系方式。乙方和/或人民法院等司法部门寄送的函件、发票、律师函、传票等文件均按照该地址进行寄送，甲方拒收、迟收、无人签收、无有效地址、被退回等均视为有效送达，甲方应对此承担法律责任。</w:t>
      </w:r>
    </w:p>
    <w:p w14:paraId="672E0644">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本合同所载乙方注册地址和/或住址及联系电话均系乙方已经确认的联系地址及联系方式，甲方和/或人民法院等司法部门寄送的函件、律师函、传票等法律文件均按照该地址进行寄送，乙方拒收、迟收、无人签收、无有效地址、被退回等均视为有效送达，乙方应对此承担法律责任。</w:t>
      </w:r>
    </w:p>
    <w:p w14:paraId="5E4477BB">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3、合同各方任何一方具体信息（包含联系地址及联系电话）变更的，应在变更前7日内书面通知另一方，未及时通知的承担相应法律责任。</w:t>
      </w:r>
    </w:p>
    <w:p w14:paraId="21663C03">
      <w:pPr>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条、合同的变更、解除或终止</w:t>
      </w:r>
    </w:p>
    <w:p w14:paraId="7F7EAD68">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1、因国家法律、法规或政策的变化，导致对危险废物的处置要求发生变化时，双方应根据新的要求对合同进行变更、解除或终止。</w:t>
      </w:r>
    </w:p>
    <w:p w14:paraId="74198F2B">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2、合同一方当事人不履行或不完全履行本合同所约定的义务，另一方当事人可以变更或解除合同。</w:t>
      </w:r>
    </w:p>
    <w:p w14:paraId="52F53C60">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3、有下列情况之一的，合同一方当事人可以变更、解除或终止合同：</w:t>
      </w:r>
    </w:p>
    <w:p w14:paraId="76C00E06">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（1）经甲、乙</w:t>
      </w:r>
      <w:r>
        <w:rPr>
          <w:rFonts w:hint="eastAsia" w:ascii="宋体" w:hAnsi="宋体"/>
          <w:color w:val="auto"/>
          <w:szCs w:val="32"/>
          <w:highlight w:val="none"/>
          <w:lang w:eastAsia="zh-CN"/>
        </w:rPr>
        <w:t>、</w:t>
      </w:r>
      <w:r>
        <w:rPr>
          <w:rFonts w:hint="eastAsia" w:ascii="宋体" w:hAnsi="宋体"/>
          <w:color w:val="auto"/>
          <w:szCs w:val="32"/>
          <w:highlight w:val="none"/>
          <w:lang w:val="en-US" w:eastAsia="zh-CN"/>
        </w:rPr>
        <w:t>丙三</w:t>
      </w:r>
      <w:r>
        <w:rPr>
          <w:rFonts w:ascii="宋体" w:hAnsi="宋体"/>
          <w:color w:val="auto"/>
          <w:szCs w:val="32"/>
          <w:highlight w:val="none"/>
        </w:rPr>
        <w:t>方协商一致；</w:t>
      </w:r>
    </w:p>
    <w:p w14:paraId="7ABFEF34">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（2）因不可抗力致使不能实现合同目的；</w:t>
      </w:r>
    </w:p>
    <w:p w14:paraId="50246C07">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（3）甲方</w:t>
      </w:r>
      <w:r>
        <w:rPr>
          <w:rFonts w:hint="eastAsia" w:ascii="宋体" w:hAnsi="宋体"/>
          <w:color w:val="auto"/>
          <w:szCs w:val="32"/>
          <w:highlight w:val="none"/>
          <w:lang w:eastAsia="zh-CN"/>
        </w:rPr>
        <w:t>、</w:t>
      </w:r>
      <w:r>
        <w:rPr>
          <w:rFonts w:ascii="宋体" w:hAnsi="宋体"/>
          <w:color w:val="auto"/>
          <w:szCs w:val="32"/>
          <w:highlight w:val="none"/>
        </w:rPr>
        <w:t>乙方</w:t>
      </w:r>
      <w:r>
        <w:rPr>
          <w:rFonts w:hint="eastAsia" w:ascii="宋体" w:hAnsi="宋体"/>
          <w:color w:val="auto"/>
          <w:szCs w:val="32"/>
          <w:highlight w:val="none"/>
          <w:lang w:val="en-US" w:eastAsia="zh-CN"/>
        </w:rPr>
        <w:t>或丙方</w:t>
      </w:r>
      <w:r>
        <w:rPr>
          <w:rFonts w:ascii="宋体" w:hAnsi="宋体"/>
          <w:color w:val="auto"/>
          <w:szCs w:val="32"/>
          <w:highlight w:val="none"/>
        </w:rPr>
        <w:t>因合并、分立、解散、破产等致使合同不能履行；</w:t>
      </w:r>
    </w:p>
    <w:p w14:paraId="5FB95D28">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（4）法律、行政法规规定的其他情形；</w:t>
      </w:r>
    </w:p>
    <w:p w14:paraId="043B27AB">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w:t>
      </w:r>
      <w:r>
        <w:rPr>
          <w:rFonts w:hint="eastAsia" w:ascii="宋体" w:hAnsi="宋体"/>
          <w:color w:val="auto"/>
          <w:szCs w:val="32"/>
          <w:highlight w:val="none"/>
          <w:lang w:eastAsia="zh-CN"/>
        </w:rPr>
        <w:t>、</w:t>
      </w:r>
      <w:r>
        <w:rPr>
          <w:rFonts w:ascii="宋体" w:hAnsi="宋体"/>
          <w:color w:val="auto"/>
          <w:szCs w:val="32"/>
          <w:highlight w:val="none"/>
        </w:rPr>
        <w:t>甲、乙</w:t>
      </w:r>
      <w:r>
        <w:rPr>
          <w:rFonts w:hint="eastAsia" w:ascii="宋体" w:hAnsi="宋体"/>
          <w:color w:val="auto"/>
          <w:szCs w:val="32"/>
          <w:highlight w:val="none"/>
          <w:lang w:eastAsia="zh-CN"/>
        </w:rPr>
        <w:t>、</w:t>
      </w:r>
      <w:r>
        <w:rPr>
          <w:rFonts w:hint="eastAsia" w:ascii="宋体" w:hAnsi="宋体"/>
          <w:color w:val="auto"/>
          <w:szCs w:val="32"/>
          <w:highlight w:val="none"/>
          <w:lang w:val="en-US" w:eastAsia="zh-CN"/>
        </w:rPr>
        <w:t>丙三</w:t>
      </w:r>
      <w:r>
        <w:rPr>
          <w:rFonts w:ascii="宋体" w:hAnsi="宋体"/>
          <w:color w:val="auto"/>
          <w:szCs w:val="32"/>
          <w:highlight w:val="none"/>
        </w:rPr>
        <w:t>方按照本条第三款第（2）（3）（4）项之规定主张解除合同的，应当提前30日书面通知对方。</w:t>
      </w:r>
    </w:p>
    <w:p w14:paraId="33B1E534">
      <w:pPr>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条、保密条款</w:t>
      </w:r>
    </w:p>
    <w:p w14:paraId="3610F902">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1、在合同协商和履行期间，</w:t>
      </w:r>
      <w:r>
        <w:rPr>
          <w:rFonts w:hint="eastAsia" w:ascii="宋体" w:hAnsi="宋体"/>
          <w:color w:val="auto"/>
          <w:szCs w:val="32"/>
          <w:highlight w:val="none"/>
          <w:lang w:val="en-US" w:eastAsia="zh-CN"/>
        </w:rPr>
        <w:t>三</w:t>
      </w:r>
      <w:r>
        <w:rPr>
          <w:rFonts w:ascii="宋体" w:hAnsi="宋体"/>
          <w:color w:val="auto"/>
          <w:szCs w:val="32"/>
          <w:highlight w:val="none"/>
        </w:rPr>
        <w:t>方对所获得的对方任何资料、信息数据等文件均负有保密义务。未经对方书面同意，任何一方不得在协商、合同期内或合同履行完毕以后以任何方式泄露或用于与本合同无关的其他任何事项。</w:t>
      </w:r>
    </w:p>
    <w:p w14:paraId="7B22E1DA">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2、该合同及附件属双方商业机密，仅限于内部存档或向政府部门备案，禁止向第</w:t>
      </w:r>
      <w:r>
        <w:rPr>
          <w:rFonts w:hint="eastAsia" w:ascii="宋体" w:hAnsi="宋体"/>
          <w:color w:val="auto"/>
          <w:szCs w:val="32"/>
          <w:highlight w:val="none"/>
          <w:lang w:val="en-US" w:eastAsia="zh-CN"/>
        </w:rPr>
        <w:t>四</w:t>
      </w:r>
      <w:r>
        <w:rPr>
          <w:rFonts w:ascii="宋体" w:hAnsi="宋体"/>
          <w:color w:val="auto"/>
          <w:szCs w:val="32"/>
          <w:highlight w:val="none"/>
        </w:rPr>
        <w:t>方提供，如向第</w:t>
      </w:r>
      <w:r>
        <w:rPr>
          <w:rFonts w:hint="eastAsia" w:ascii="宋体" w:hAnsi="宋体"/>
          <w:color w:val="auto"/>
          <w:szCs w:val="32"/>
          <w:highlight w:val="none"/>
          <w:lang w:val="en-US" w:eastAsia="zh-CN"/>
        </w:rPr>
        <w:t>四</w:t>
      </w:r>
      <w:r>
        <w:rPr>
          <w:rFonts w:ascii="宋体" w:hAnsi="宋体"/>
          <w:color w:val="auto"/>
          <w:szCs w:val="32"/>
          <w:highlight w:val="none"/>
        </w:rPr>
        <w:t>方提供或协助第</w:t>
      </w:r>
      <w:r>
        <w:rPr>
          <w:rFonts w:hint="eastAsia" w:ascii="宋体" w:hAnsi="宋体"/>
          <w:color w:val="auto"/>
          <w:szCs w:val="32"/>
          <w:highlight w:val="none"/>
          <w:lang w:val="en-US" w:eastAsia="zh-CN"/>
        </w:rPr>
        <w:t>四</w:t>
      </w:r>
      <w:r>
        <w:rPr>
          <w:rFonts w:ascii="宋体" w:hAnsi="宋体"/>
          <w:color w:val="auto"/>
          <w:szCs w:val="32"/>
          <w:highlight w:val="none"/>
        </w:rPr>
        <w:t>方恶意伪造合同或合同附件；违约方应承担3万元违约责任。</w:t>
      </w:r>
    </w:p>
    <w:p w14:paraId="23194A5B">
      <w:pPr>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条、争议解决方式</w:t>
      </w:r>
    </w:p>
    <w:p w14:paraId="00B7EBBC">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本合同在履行过程中如发生争议，甲、乙</w:t>
      </w:r>
      <w:r>
        <w:rPr>
          <w:rFonts w:hint="eastAsia" w:ascii="宋体" w:hAnsi="宋体"/>
          <w:color w:val="auto"/>
          <w:szCs w:val="32"/>
          <w:highlight w:val="none"/>
          <w:lang w:eastAsia="zh-CN"/>
        </w:rPr>
        <w:t>、</w:t>
      </w:r>
      <w:r>
        <w:rPr>
          <w:rFonts w:hint="eastAsia" w:ascii="宋体" w:hAnsi="宋体"/>
          <w:color w:val="auto"/>
          <w:szCs w:val="32"/>
          <w:highlight w:val="none"/>
          <w:lang w:val="en-US" w:eastAsia="zh-CN"/>
        </w:rPr>
        <w:t>丙三</w:t>
      </w:r>
      <w:r>
        <w:rPr>
          <w:rFonts w:ascii="宋体" w:hAnsi="宋体"/>
          <w:color w:val="auto"/>
          <w:szCs w:val="32"/>
          <w:highlight w:val="none"/>
        </w:rPr>
        <w:t>方应友好协商解决；若</w:t>
      </w:r>
      <w:r>
        <w:rPr>
          <w:rFonts w:hint="eastAsia" w:ascii="宋体" w:hAnsi="宋体"/>
          <w:color w:val="auto"/>
          <w:szCs w:val="32"/>
          <w:highlight w:val="none"/>
          <w:lang w:val="en-US" w:eastAsia="zh-CN"/>
        </w:rPr>
        <w:t>三</w:t>
      </w:r>
      <w:r>
        <w:rPr>
          <w:rFonts w:ascii="宋体" w:hAnsi="宋体"/>
          <w:color w:val="auto"/>
          <w:szCs w:val="32"/>
          <w:highlight w:val="none"/>
        </w:rPr>
        <w:t>方未达成一致，由甲方所在地</w:t>
      </w:r>
      <w:r>
        <w:rPr>
          <w:rFonts w:hint="eastAsia" w:ascii="宋体" w:hAnsi="宋体"/>
          <w:color w:val="auto"/>
          <w:szCs w:val="32"/>
          <w:highlight w:val="none"/>
          <w:u w:val="single"/>
          <w:lang w:val="en-US" w:eastAsia="zh-CN"/>
        </w:rPr>
        <w:t>响水县</w:t>
      </w:r>
      <w:r>
        <w:rPr>
          <w:rFonts w:ascii="宋体" w:hAnsi="宋体"/>
          <w:color w:val="auto"/>
          <w:szCs w:val="32"/>
          <w:highlight w:val="none"/>
        </w:rPr>
        <w:t>人民法院管辖。</w:t>
      </w:r>
    </w:p>
    <w:p w14:paraId="64883BD5">
      <w:pPr>
        <w:adjustRightInd w:val="0"/>
        <w:snapToGrid w:val="0"/>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条、其他条款</w:t>
      </w:r>
    </w:p>
    <w:p w14:paraId="21CE79D7">
      <w:pPr>
        <w:numPr>
          <w:ilvl w:val="0"/>
          <w:numId w:val="0"/>
        </w:numPr>
        <w:adjustRightInd w:val="0"/>
        <w:snapToGrid w:val="0"/>
        <w:spacing w:line="360" w:lineRule="auto"/>
        <w:ind w:firstLine="416" w:firstLineChars="200"/>
        <w:outlineLvl w:val="1"/>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本合同经甲方、乙方</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8"/>
          <w:sz w:val="21"/>
          <w:szCs w:val="21"/>
          <w:highlight w:val="none"/>
          <w:lang w:val="en-US" w:eastAsia="zh-CN"/>
        </w:rPr>
        <w:t>丙</w:t>
      </w:r>
      <w:r>
        <w:rPr>
          <w:rFonts w:hint="eastAsia" w:ascii="宋体" w:hAnsi="宋体" w:eastAsia="宋体" w:cs="宋体"/>
          <w:color w:val="auto"/>
          <w:spacing w:val="-8"/>
          <w:sz w:val="21"/>
          <w:szCs w:val="21"/>
          <w:highlight w:val="none"/>
        </w:rPr>
        <w:t>方</w:t>
      </w:r>
      <w:r>
        <w:rPr>
          <w:rFonts w:hint="eastAsia" w:ascii="宋体" w:hAnsi="宋体" w:eastAsia="宋体" w:cs="宋体"/>
          <w:color w:val="auto"/>
          <w:spacing w:val="-1"/>
          <w:sz w:val="21"/>
          <w:szCs w:val="21"/>
          <w:highlight w:val="none"/>
        </w:rPr>
        <w:t>法定代表人或其委托人签字并加盖公章后生效。</w:t>
      </w:r>
    </w:p>
    <w:p w14:paraId="69A9BE0D">
      <w:pPr>
        <w:numPr>
          <w:ilvl w:val="0"/>
          <w:numId w:val="0"/>
        </w:numPr>
        <w:adjustRightInd w:val="0"/>
        <w:snapToGrid w:val="0"/>
        <w:spacing w:line="360" w:lineRule="auto"/>
        <w:ind w:leftChars="200"/>
        <w:outlineLvl w:val="1"/>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本合同壹式柒份，甲方、乙方</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8"/>
          <w:sz w:val="21"/>
          <w:szCs w:val="21"/>
          <w:highlight w:val="none"/>
          <w:lang w:val="en-US" w:eastAsia="zh-CN"/>
        </w:rPr>
        <w:t>丙</w:t>
      </w:r>
      <w:r>
        <w:rPr>
          <w:rFonts w:hint="eastAsia" w:ascii="宋体" w:hAnsi="宋体" w:eastAsia="宋体" w:cs="宋体"/>
          <w:color w:val="auto"/>
          <w:spacing w:val="-8"/>
          <w:sz w:val="21"/>
          <w:szCs w:val="21"/>
          <w:highlight w:val="none"/>
        </w:rPr>
        <w:t>方</w:t>
      </w:r>
      <w:r>
        <w:rPr>
          <w:rFonts w:hint="eastAsia" w:ascii="宋体" w:hAnsi="宋体" w:eastAsia="宋体" w:cs="宋体"/>
          <w:color w:val="auto"/>
          <w:spacing w:val="-1"/>
          <w:sz w:val="21"/>
          <w:szCs w:val="21"/>
          <w:highlight w:val="none"/>
        </w:rPr>
        <w:t>双方各执贰份，其余送有关部门备案。</w:t>
      </w:r>
    </w:p>
    <w:p w14:paraId="1CCAB346">
      <w:pPr>
        <w:numPr>
          <w:ilvl w:val="0"/>
          <w:numId w:val="0"/>
        </w:numPr>
        <w:adjustRightInd w:val="0"/>
        <w:snapToGrid w:val="0"/>
        <w:spacing w:line="360" w:lineRule="auto"/>
        <w:ind w:leftChars="200"/>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相关招标文件、投标文件与本合同具有同等法律效力。</w:t>
      </w:r>
    </w:p>
    <w:p w14:paraId="50D63C73">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4、本合同的修订、补充须经</w:t>
      </w:r>
      <w:r>
        <w:rPr>
          <w:rFonts w:hint="eastAsia" w:ascii="宋体" w:hAnsi="宋体"/>
          <w:color w:val="auto"/>
          <w:szCs w:val="32"/>
          <w:highlight w:val="none"/>
          <w:lang w:val="en-US" w:eastAsia="zh-CN"/>
        </w:rPr>
        <w:t>三</w:t>
      </w:r>
      <w:r>
        <w:rPr>
          <w:rFonts w:ascii="宋体" w:hAnsi="宋体"/>
          <w:color w:val="auto"/>
          <w:szCs w:val="32"/>
          <w:highlight w:val="none"/>
        </w:rPr>
        <w:t>方协商并签订书面补充协议。对本合同口头约定或录音等非正式形式的任何改动、修订、增加或删减均属无效。</w:t>
      </w:r>
    </w:p>
    <w:p w14:paraId="15B6BCFE">
      <w:pPr>
        <w:adjustRightInd w:val="0"/>
        <w:snapToGrid w:val="0"/>
        <w:spacing w:line="360" w:lineRule="auto"/>
        <w:ind w:firstLine="420" w:firstLineChars="200"/>
        <w:outlineLvl w:val="1"/>
        <w:rPr>
          <w:rFonts w:ascii="宋体" w:hAnsi="宋体"/>
          <w:color w:val="auto"/>
          <w:szCs w:val="32"/>
          <w:highlight w:val="none"/>
        </w:rPr>
      </w:pPr>
      <w:r>
        <w:rPr>
          <w:rFonts w:ascii="宋体" w:hAnsi="宋体"/>
          <w:color w:val="auto"/>
          <w:szCs w:val="32"/>
          <w:highlight w:val="none"/>
        </w:rPr>
        <w:t>5、本合同未尽事宜，可以由</w:t>
      </w:r>
      <w:r>
        <w:rPr>
          <w:rFonts w:hint="eastAsia" w:ascii="宋体" w:hAnsi="宋体"/>
          <w:color w:val="auto"/>
          <w:szCs w:val="32"/>
          <w:highlight w:val="none"/>
          <w:lang w:val="en-US" w:eastAsia="zh-CN"/>
        </w:rPr>
        <w:t>三</w:t>
      </w:r>
      <w:r>
        <w:rPr>
          <w:rFonts w:ascii="宋体" w:hAnsi="宋体"/>
          <w:color w:val="auto"/>
          <w:szCs w:val="32"/>
          <w:highlight w:val="none"/>
        </w:rPr>
        <w:t>方另行协商并签订书面的补充协议，如果补充协议内容与本合同不一致的，以补充协议为准。</w:t>
      </w:r>
    </w:p>
    <w:p w14:paraId="579C1FE8">
      <w:pPr>
        <w:adjustRightInd w:val="0"/>
        <w:snapToGrid w:val="0"/>
        <w:spacing w:line="360" w:lineRule="auto"/>
        <w:outlineLvl w:val="1"/>
        <w:rPr>
          <w:rFonts w:ascii="宋体" w:hAnsi="宋体"/>
          <w:color w:val="auto"/>
          <w:szCs w:val="32"/>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条、合同履行期限：</w:t>
      </w:r>
      <w:r>
        <w:rPr>
          <w:rFonts w:hint="eastAsia" w:ascii="宋体" w:hAnsi="宋体" w:cs="宋体"/>
          <w:bCs/>
          <w:color w:val="auto"/>
          <w:sz w:val="21"/>
          <w:szCs w:val="21"/>
          <w:highlight w:val="none"/>
          <w:lang w:eastAsia="zh-CN"/>
        </w:rPr>
        <w:t>以合同签订时间起一年（按照采购人要求在规定时间内进场服务）。</w:t>
      </w:r>
    </w:p>
    <w:p w14:paraId="45D2E129">
      <w:pPr>
        <w:keepNext w:val="0"/>
        <w:keepLines w:val="0"/>
        <w:pageBreakBefore w:val="0"/>
        <w:kinsoku/>
        <w:wordWrap/>
        <w:overflowPunct/>
        <w:topLinePunct w:val="0"/>
        <w:autoSpaceDE/>
        <w:autoSpaceDN/>
        <w:bidi w:val="0"/>
        <w:adjustRightInd/>
        <w:snapToGrid/>
        <w:spacing w:before="79" w:line="240" w:lineRule="exact"/>
        <w:ind w:left="3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甲方（盖章</w:t>
      </w:r>
      <w:r>
        <w:rPr>
          <w:rFonts w:hint="eastAsia" w:ascii="宋体" w:hAnsi="宋体" w:eastAsia="宋体" w:cs="宋体"/>
          <w:b/>
          <w:bCs/>
          <w:color w:val="auto"/>
          <w:spacing w:val="1"/>
          <w:sz w:val="21"/>
          <w:szCs w:val="21"/>
          <w:highlight w:val="none"/>
        </w:rPr>
        <w:t xml:space="preserve">）：             </w:t>
      </w:r>
      <w:r>
        <w:rPr>
          <w:rFonts w:hint="eastAsia" w:ascii="宋体" w:hAnsi="宋体" w:cs="宋体"/>
          <w:b/>
          <w:bCs/>
          <w:color w:val="auto"/>
          <w:spacing w:val="1"/>
          <w:sz w:val="21"/>
          <w:szCs w:val="21"/>
          <w:highlight w:val="none"/>
          <w:lang w:val="en-US" w:eastAsia="zh-CN"/>
        </w:rPr>
        <w:t xml:space="preserve">                  </w:t>
      </w:r>
      <w:r>
        <w:rPr>
          <w:rFonts w:hint="eastAsia" w:ascii="宋体" w:hAnsi="宋体" w:eastAsia="宋体" w:cs="宋体"/>
          <w:b/>
          <w:bCs/>
          <w:color w:val="auto"/>
          <w:spacing w:val="-8"/>
          <w:sz w:val="21"/>
          <w:szCs w:val="21"/>
          <w:highlight w:val="none"/>
        </w:rPr>
        <w:t>乙方（盖章</w:t>
      </w:r>
      <w:r>
        <w:rPr>
          <w:rFonts w:hint="eastAsia" w:ascii="宋体" w:hAnsi="宋体" w:eastAsia="宋体" w:cs="宋体"/>
          <w:b/>
          <w:bCs/>
          <w:color w:val="auto"/>
          <w:spacing w:val="1"/>
          <w:sz w:val="21"/>
          <w:szCs w:val="21"/>
          <w:highlight w:val="none"/>
        </w:rPr>
        <w:t>）：</w:t>
      </w:r>
      <w:r>
        <w:rPr>
          <w:rFonts w:hint="eastAsia" w:ascii="宋体" w:hAnsi="宋体" w:eastAsia="宋体" w:cs="宋体"/>
          <w:b/>
          <w:bCs/>
          <w:color w:val="auto"/>
          <w:spacing w:val="1"/>
          <w:sz w:val="21"/>
          <w:szCs w:val="21"/>
          <w:highlight w:val="none"/>
          <w:lang w:val="en-US" w:eastAsia="zh-CN"/>
        </w:rPr>
        <w:t xml:space="preserve">          </w:t>
      </w:r>
    </w:p>
    <w:p w14:paraId="2EBE1E2F">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w:t>
      </w:r>
      <w:r>
        <w:rPr>
          <w:rFonts w:hint="eastAsia" w:ascii="宋体" w:hAnsi="宋体" w:eastAsia="宋体" w:cs="宋体"/>
          <w:b/>
          <w:bCs/>
          <w:color w:val="auto"/>
          <w:spacing w:val="-2"/>
          <w:sz w:val="21"/>
          <w:szCs w:val="21"/>
          <w:highlight w:val="none"/>
        </w:rPr>
        <w:t>或受委托人（签字</w:t>
      </w:r>
      <w:r>
        <w:rPr>
          <w:rFonts w:hint="eastAsia" w:ascii="宋体" w:hAnsi="宋体" w:eastAsia="宋体" w:cs="宋体"/>
          <w:b/>
          <w:bCs/>
          <w:color w:val="auto"/>
          <w:spacing w:val="1"/>
          <w:sz w:val="21"/>
          <w:szCs w:val="21"/>
          <w:highlight w:val="none"/>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1"/>
          <w:sz w:val="21"/>
          <w:szCs w:val="21"/>
          <w:highlight w:val="none"/>
        </w:rPr>
        <w:t>法定代表人</w:t>
      </w:r>
      <w:r>
        <w:rPr>
          <w:rFonts w:hint="eastAsia" w:ascii="宋体" w:hAnsi="宋体" w:eastAsia="宋体" w:cs="宋体"/>
          <w:b/>
          <w:bCs/>
          <w:color w:val="auto"/>
          <w:spacing w:val="-2"/>
          <w:sz w:val="21"/>
          <w:szCs w:val="21"/>
          <w:highlight w:val="none"/>
        </w:rPr>
        <w:t>或受委托人（签字</w:t>
      </w:r>
      <w:r>
        <w:rPr>
          <w:rFonts w:hint="eastAsia" w:ascii="宋体" w:hAnsi="宋体" w:eastAsia="宋体" w:cs="宋体"/>
          <w:b/>
          <w:bCs/>
          <w:color w:val="auto"/>
          <w:spacing w:val="1"/>
          <w:sz w:val="21"/>
          <w:szCs w:val="21"/>
          <w:highlight w:val="none"/>
        </w:rPr>
        <w:t>）：</w:t>
      </w:r>
      <w:r>
        <w:rPr>
          <w:rFonts w:hint="eastAsia" w:ascii="宋体" w:hAnsi="宋体" w:eastAsia="宋体" w:cs="宋体"/>
          <w:b/>
          <w:bCs/>
          <w:color w:val="auto"/>
          <w:spacing w:val="-1"/>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1"/>
          <w:sz w:val="21"/>
          <w:szCs w:val="21"/>
          <w:highlight w:val="none"/>
          <w:lang w:val="en-US" w:eastAsia="zh-CN"/>
        </w:rPr>
        <w:t xml:space="preserve">   </w:t>
      </w:r>
    </w:p>
    <w:p w14:paraId="4A1DF5CC">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联系人：</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3"/>
          <w:sz w:val="21"/>
          <w:szCs w:val="21"/>
          <w:highlight w:val="none"/>
        </w:rPr>
        <w:t>联系人：</w:t>
      </w:r>
      <w:r>
        <w:rPr>
          <w:rFonts w:hint="eastAsia" w:ascii="宋体" w:hAnsi="宋体" w:eastAsia="宋体" w:cs="宋体"/>
          <w:b/>
          <w:bCs/>
          <w:color w:val="auto"/>
          <w:spacing w:val="-3"/>
          <w:sz w:val="21"/>
          <w:szCs w:val="21"/>
          <w:highlight w:val="none"/>
          <w:lang w:val="en-US" w:eastAsia="zh-CN"/>
        </w:rPr>
        <w:t xml:space="preserve">             </w:t>
      </w:r>
    </w:p>
    <w:p w14:paraId="45EBCD74">
      <w:pPr>
        <w:keepNext w:val="0"/>
        <w:keepLines w:val="0"/>
        <w:pageBreakBefore w:val="0"/>
        <w:kinsoku/>
        <w:wordWrap/>
        <w:overflowPunct/>
        <w:topLinePunct w:val="0"/>
        <w:autoSpaceDE/>
        <w:autoSpaceDN/>
        <w:bidi w:val="0"/>
        <w:adjustRightInd/>
        <w:snapToGrid/>
        <w:spacing w:before="179" w:line="240" w:lineRule="exact"/>
        <w:ind w:left="5482" w:leftChars="3" w:hanging="5476" w:hangingChars="27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地址：</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4"/>
          <w:sz w:val="21"/>
          <w:szCs w:val="21"/>
          <w:highlight w:val="none"/>
        </w:rPr>
        <w:t>地址：</w:t>
      </w:r>
      <w:r>
        <w:rPr>
          <w:rFonts w:hint="eastAsia" w:ascii="宋体" w:hAnsi="宋体" w:eastAsia="宋体" w:cs="宋体"/>
          <w:b/>
          <w:bCs/>
          <w:color w:val="auto"/>
          <w:spacing w:val="-4"/>
          <w:sz w:val="21"/>
          <w:szCs w:val="21"/>
          <w:highlight w:val="none"/>
          <w:lang w:val="en-US" w:eastAsia="zh-CN"/>
        </w:rPr>
        <w:t xml:space="preserve">             </w:t>
      </w:r>
    </w:p>
    <w:p w14:paraId="7F99C210">
      <w:pPr>
        <w:keepNext w:val="0"/>
        <w:keepLines w:val="0"/>
        <w:pageBreakBefore w:val="0"/>
        <w:kinsoku/>
        <w:wordWrap/>
        <w:overflowPunct/>
        <w:topLinePunct w:val="0"/>
        <w:autoSpaceDE/>
        <w:autoSpaceDN/>
        <w:bidi w:val="0"/>
        <w:adjustRightInd/>
        <w:snapToGrid/>
        <w:spacing w:before="172" w:line="240" w:lineRule="exact"/>
        <w:ind w:left="36"/>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电话：</w:t>
      </w:r>
      <w:r>
        <w:rPr>
          <w:rFonts w:hint="eastAsia" w:ascii="宋体" w:hAnsi="宋体" w:eastAsia="宋体" w:cs="宋体"/>
          <w:b/>
          <w:bCs/>
          <w:color w:val="auto"/>
          <w:spacing w:val="-4"/>
          <w:sz w:val="21"/>
          <w:szCs w:val="21"/>
          <w:highlight w:val="none"/>
        </w:rPr>
        <w:t xml:space="preserve"> </w:t>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7"/>
          <w:sz w:val="21"/>
          <w:szCs w:val="21"/>
          <w:highlight w:val="none"/>
        </w:rPr>
        <w:t xml:space="preserve"> </w:t>
      </w:r>
      <w:r>
        <w:rPr>
          <w:rFonts w:hint="eastAsia" w:ascii="宋体" w:hAnsi="宋体" w:cs="宋体"/>
          <w:b/>
          <w:bCs/>
          <w:color w:val="auto"/>
          <w:spacing w:val="-7"/>
          <w:sz w:val="21"/>
          <w:szCs w:val="21"/>
          <w:highlight w:val="none"/>
          <w:lang w:val="en-US" w:eastAsia="zh-CN"/>
        </w:rPr>
        <w:t xml:space="preserve">                     </w:t>
      </w:r>
      <w:r>
        <w:rPr>
          <w:rFonts w:hint="eastAsia" w:ascii="宋体" w:hAnsi="宋体" w:eastAsia="宋体" w:cs="宋体"/>
          <w:b/>
          <w:bCs/>
          <w:color w:val="auto"/>
          <w:spacing w:val="-7"/>
          <w:sz w:val="21"/>
          <w:szCs w:val="21"/>
          <w:highlight w:val="none"/>
        </w:rPr>
        <w:t>电话：</w:t>
      </w:r>
      <w:r>
        <w:rPr>
          <w:rFonts w:hint="eastAsia" w:ascii="宋体" w:hAnsi="宋体" w:eastAsia="宋体" w:cs="宋体"/>
          <w:b/>
          <w:bCs/>
          <w:color w:val="auto"/>
          <w:spacing w:val="-7"/>
          <w:sz w:val="21"/>
          <w:szCs w:val="21"/>
          <w:highlight w:val="none"/>
          <w:lang w:val="en-US" w:eastAsia="zh-CN"/>
        </w:rPr>
        <w:t xml:space="preserve">              </w:t>
      </w:r>
    </w:p>
    <w:p w14:paraId="4F0009CD">
      <w:pPr>
        <w:keepNext w:val="0"/>
        <w:keepLines w:val="0"/>
        <w:pageBreakBefore w:val="0"/>
        <w:kinsoku/>
        <w:wordWrap/>
        <w:overflowPunct/>
        <w:topLinePunct w:val="0"/>
        <w:autoSpaceDE/>
        <w:autoSpaceDN/>
        <w:bidi w:val="0"/>
        <w:adjustRightInd/>
        <w:snapToGrid/>
        <w:spacing w:before="179" w:line="240" w:lineRule="exact"/>
        <w:ind w:left="6"/>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传真：</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3"/>
          <w:sz w:val="21"/>
          <w:szCs w:val="21"/>
          <w:highlight w:val="none"/>
        </w:rPr>
        <w:t>传真：</w:t>
      </w:r>
      <w:r>
        <w:rPr>
          <w:rFonts w:hint="eastAsia" w:ascii="宋体" w:hAnsi="宋体" w:eastAsia="宋体" w:cs="宋体"/>
          <w:b/>
          <w:bCs/>
          <w:color w:val="auto"/>
          <w:spacing w:val="-3"/>
          <w:sz w:val="21"/>
          <w:szCs w:val="21"/>
          <w:highlight w:val="none"/>
          <w:lang w:val="en-US" w:eastAsia="zh-CN"/>
        </w:rPr>
        <w:t xml:space="preserve">                 </w:t>
      </w:r>
    </w:p>
    <w:p w14:paraId="78A9DC77">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1"/>
          <w:sz w:val="21"/>
          <w:szCs w:val="21"/>
          <w:highlight w:val="none"/>
        </w:rPr>
        <w:t>开户银行：</w:t>
      </w:r>
      <w:r>
        <w:rPr>
          <w:rFonts w:hint="eastAsia" w:ascii="宋体" w:hAnsi="宋体" w:eastAsia="宋体" w:cs="宋体"/>
          <w:b/>
          <w:bCs/>
          <w:color w:val="auto"/>
          <w:spacing w:val="-1"/>
          <w:sz w:val="21"/>
          <w:szCs w:val="21"/>
          <w:highlight w:val="none"/>
          <w:lang w:val="en-US" w:eastAsia="zh-CN"/>
        </w:rPr>
        <w:t xml:space="preserve">            </w:t>
      </w:r>
    </w:p>
    <w:p w14:paraId="2EFE381C">
      <w:pPr>
        <w:keepNext w:val="0"/>
        <w:keepLines w:val="0"/>
        <w:pageBreakBefore w:val="0"/>
        <w:kinsoku/>
        <w:wordWrap/>
        <w:overflowPunct/>
        <w:topLinePunct w:val="0"/>
        <w:autoSpaceDE/>
        <w:autoSpaceDN/>
        <w:bidi w:val="0"/>
        <w:adjustRightInd/>
        <w:snapToGrid/>
        <w:spacing w:before="182" w:line="240" w:lineRule="exact"/>
        <w:ind w:left="1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 xml:space="preserve">帐号：            </w:t>
      </w:r>
      <w:r>
        <w:rPr>
          <w:rFonts w:hint="eastAsia" w:ascii="宋体" w:hAnsi="宋体" w:cs="宋体"/>
          <w:b/>
          <w:bCs/>
          <w:color w:val="auto"/>
          <w:spacing w:val="-3"/>
          <w:sz w:val="21"/>
          <w:szCs w:val="21"/>
          <w:highlight w:val="none"/>
          <w:lang w:val="en-US" w:eastAsia="zh-CN"/>
        </w:rPr>
        <w:t xml:space="preserve">                              </w:t>
      </w:r>
      <w:r>
        <w:rPr>
          <w:rFonts w:hint="eastAsia" w:ascii="宋体" w:hAnsi="宋体" w:eastAsia="宋体" w:cs="宋体"/>
          <w:b/>
          <w:bCs/>
          <w:color w:val="auto"/>
          <w:spacing w:val="-4"/>
          <w:sz w:val="21"/>
          <w:szCs w:val="21"/>
          <w:highlight w:val="none"/>
        </w:rPr>
        <w:t>帐号：</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p>
    <w:p w14:paraId="0F1F8573">
      <w:pPr>
        <w:keepNext w:val="0"/>
        <w:keepLines w:val="0"/>
        <w:pageBreakBefore w:val="0"/>
        <w:widowControl/>
        <w:tabs>
          <w:tab w:val="left" w:pos="900"/>
        </w:tabs>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日期：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日期：</w:t>
      </w:r>
      <w:r>
        <w:rPr>
          <w:rFonts w:hint="eastAsia" w:ascii="宋体" w:hAnsi="宋体" w:eastAsia="宋体" w:cs="宋体"/>
          <w:b/>
          <w:bCs/>
          <w:color w:val="auto"/>
          <w:sz w:val="21"/>
          <w:szCs w:val="21"/>
          <w:highlight w:val="none"/>
          <w:lang w:val="en-US" w:eastAsia="zh-CN"/>
        </w:rPr>
        <w:t xml:space="preserve">                </w:t>
      </w:r>
    </w:p>
    <w:p w14:paraId="5D6DE3BB">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b/>
          <w:bCs/>
          <w:color w:val="auto"/>
          <w:sz w:val="21"/>
          <w:szCs w:val="21"/>
          <w:highlight w:val="none"/>
          <w:lang w:val="en-US" w:eastAsia="zh-CN"/>
        </w:rPr>
      </w:pPr>
    </w:p>
    <w:p w14:paraId="5F6784CD">
      <w:pPr>
        <w:keepNext w:val="0"/>
        <w:keepLines w:val="0"/>
        <w:pageBreakBefore w:val="0"/>
        <w:kinsoku/>
        <w:wordWrap/>
        <w:overflowPunct/>
        <w:topLinePunct w:val="0"/>
        <w:autoSpaceDE/>
        <w:autoSpaceDN/>
        <w:bidi w:val="0"/>
        <w:adjustRightInd/>
        <w:snapToGrid/>
        <w:spacing w:before="79" w:line="240" w:lineRule="exact"/>
        <w:ind w:left="39"/>
        <w:textAlignment w:val="auto"/>
        <w:rPr>
          <w:rFonts w:hint="eastAsia" w:ascii="宋体" w:hAnsi="宋体" w:eastAsia="宋体" w:cs="宋体"/>
          <w:b/>
          <w:bCs/>
          <w:color w:val="auto"/>
          <w:sz w:val="21"/>
          <w:szCs w:val="21"/>
          <w:highlight w:val="none"/>
        </w:rPr>
      </w:pPr>
      <w:r>
        <w:rPr>
          <w:rFonts w:hint="eastAsia" w:ascii="宋体" w:hAnsi="宋体" w:cs="宋体"/>
          <w:b/>
          <w:bCs/>
          <w:color w:val="auto"/>
          <w:spacing w:val="-8"/>
          <w:sz w:val="21"/>
          <w:szCs w:val="21"/>
          <w:highlight w:val="none"/>
          <w:lang w:val="en-US" w:eastAsia="zh-CN"/>
        </w:rPr>
        <w:t>丙</w:t>
      </w:r>
      <w:r>
        <w:rPr>
          <w:rFonts w:hint="eastAsia" w:ascii="宋体" w:hAnsi="宋体" w:eastAsia="宋体" w:cs="宋体"/>
          <w:b/>
          <w:bCs/>
          <w:color w:val="auto"/>
          <w:spacing w:val="-8"/>
          <w:sz w:val="21"/>
          <w:szCs w:val="21"/>
          <w:highlight w:val="none"/>
        </w:rPr>
        <w:t>方（盖章</w:t>
      </w:r>
      <w:r>
        <w:rPr>
          <w:rFonts w:hint="eastAsia" w:ascii="宋体" w:hAnsi="宋体" w:eastAsia="宋体" w:cs="宋体"/>
          <w:b/>
          <w:bCs/>
          <w:color w:val="auto"/>
          <w:spacing w:val="1"/>
          <w:sz w:val="21"/>
          <w:szCs w:val="21"/>
          <w:highlight w:val="none"/>
        </w:rPr>
        <w:t xml:space="preserve">）：             </w:t>
      </w:r>
      <w:r>
        <w:rPr>
          <w:rFonts w:hint="eastAsia" w:ascii="宋体" w:hAnsi="宋体" w:cs="宋体"/>
          <w:b/>
          <w:bCs/>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lang w:val="en-US" w:eastAsia="zh-CN"/>
        </w:rPr>
        <w:t xml:space="preserve">       </w:t>
      </w:r>
    </w:p>
    <w:p w14:paraId="54230DA7">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w:t>
      </w:r>
      <w:r>
        <w:rPr>
          <w:rFonts w:hint="eastAsia" w:ascii="宋体" w:hAnsi="宋体" w:eastAsia="宋体" w:cs="宋体"/>
          <w:b/>
          <w:bCs/>
          <w:color w:val="auto"/>
          <w:spacing w:val="-2"/>
          <w:sz w:val="21"/>
          <w:szCs w:val="21"/>
          <w:highlight w:val="none"/>
        </w:rPr>
        <w:t>或受委托人（签字</w:t>
      </w:r>
      <w:r>
        <w:rPr>
          <w:rFonts w:hint="eastAsia" w:ascii="宋体" w:hAnsi="宋体" w:eastAsia="宋体" w:cs="宋体"/>
          <w:b/>
          <w:bCs/>
          <w:color w:val="auto"/>
          <w:spacing w:val="1"/>
          <w:sz w:val="21"/>
          <w:szCs w:val="21"/>
          <w:highlight w:val="none"/>
        </w:rPr>
        <w:t>）：</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1"/>
          <w:sz w:val="21"/>
          <w:szCs w:val="21"/>
          <w:highlight w:val="none"/>
          <w:lang w:val="en-US" w:eastAsia="zh-CN"/>
        </w:rPr>
        <w:t xml:space="preserve"> </w:t>
      </w:r>
    </w:p>
    <w:p w14:paraId="011CA7D9">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联系人：</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3"/>
          <w:sz w:val="21"/>
          <w:szCs w:val="21"/>
          <w:highlight w:val="none"/>
          <w:lang w:val="en-US" w:eastAsia="zh-CN"/>
        </w:rPr>
        <w:t xml:space="preserve">            </w:t>
      </w:r>
    </w:p>
    <w:p w14:paraId="26DA8AB6">
      <w:pPr>
        <w:keepNext w:val="0"/>
        <w:keepLines w:val="0"/>
        <w:pageBreakBefore w:val="0"/>
        <w:kinsoku/>
        <w:wordWrap/>
        <w:overflowPunct/>
        <w:topLinePunct w:val="0"/>
        <w:autoSpaceDE/>
        <w:autoSpaceDN/>
        <w:bidi w:val="0"/>
        <w:adjustRightInd/>
        <w:snapToGrid/>
        <w:spacing w:before="179" w:line="240" w:lineRule="exact"/>
        <w:ind w:left="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地址：</w:t>
      </w:r>
      <w:r>
        <w:rPr>
          <w:rFonts w:hint="eastAsia" w:ascii="宋体" w:hAnsi="宋体" w:eastAsia="宋体" w:cs="宋体"/>
          <w:b/>
          <w:bCs/>
          <w:color w:val="auto"/>
          <w:sz w:val="21"/>
          <w:szCs w:val="21"/>
          <w:highlight w:val="none"/>
          <w:u w:val="none"/>
          <w:lang w:val="en-US" w:eastAsia="zh-CN"/>
        </w:rPr>
        <w:t>盐城市响水县响水镇黄河路5-12号</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4"/>
          <w:sz w:val="21"/>
          <w:szCs w:val="21"/>
          <w:highlight w:val="none"/>
          <w:lang w:val="en-US" w:eastAsia="zh-CN"/>
        </w:rPr>
        <w:t xml:space="preserve">              </w:t>
      </w:r>
    </w:p>
    <w:p w14:paraId="63FDC3C8">
      <w:pPr>
        <w:keepNext w:val="0"/>
        <w:keepLines w:val="0"/>
        <w:pageBreakBefore w:val="0"/>
        <w:kinsoku/>
        <w:wordWrap/>
        <w:overflowPunct/>
        <w:topLinePunct w:val="0"/>
        <w:autoSpaceDE/>
        <w:autoSpaceDN/>
        <w:bidi w:val="0"/>
        <w:adjustRightInd/>
        <w:snapToGrid/>
        <w:spacing w:before="172" w:line="240" w:lineRule="exact"/>
        <w:ind w:left="36"/>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 xml:space="preserve">电话：                      </w:t>
      </w:r>
      <w:r>
        <w:rPr>
          <w:rFonts w:hint="eastAsia" w:ascii="宋体" w:hAnsi="宋体" w:eastAsia="宋体" w:cs="宋体"/>
          <w:b/>
          <w:bCs/>
          <w:color w:val="auto"/>
          <w:spacing w:val="-7"/>
          <w:sz w:val="21"/>
          <w:szCs w:val="21"/>
          <w:highlight w:val="none"/>
        </w:rPr>
        <w:t xml:space="preserve"> </w:t>
      </w:r>
      <w:r>
        <w:rPr>
          <w:rFonts w:hint="eastAsia" w:ascii="宋体" w:hAnsi="宋体" w:cs="宋体"/>
          <w:b/>
          <w:bCs/>
          <w:color w:val="auto"/>
          <w:spacing w:val="-7"/>
          <w:sz w:val="21"/>
          <w:szCs w:val="21"/>
          <w:highlight w:val="none"/>
          <w:lang w:val="en-US" w:eastAsia="zh-CN"/>
        </w:rPr>
        <w:t xml:space="preserve">                </w:t>
      </w:r>
      <w:r>
        <w:rPr>
          <w:rFonts w:hint="eastAsia" w:ascii="宋体" w:hAnsi="宋体" w:eastAsia="宋体" w:cs="宋体"/>
          <w:b/>
          <w:bCs/>
          <w:color w:val="auto"/>
          <w:spacing w:val="-7"/>
          <w:sz w:val="21"/>
          <w:szCs w:val="21"/>
          <w:highlight w:val="none"/>
          <w:lang w:val="en-US" w:eastAsia="zh-CN"/>
        </w:rPr>
        <w:t xml:space="preserve">                 </w:t>
      </w:r>
    </w:p>
    <w:p w14:paraId="18679A79">
      <w:pPr>
        <w:keepNext w:val="0"/>
        <w:keepLines w:val="0"/>
        <w:pageBreakBefore w:val="0"/>
        <w:kinsoku/>
        <w:wordWrap/>
        <w:overflowPunct/>
        <w:topLinePunct w:val="0"/>
        <w:autoSpaceDE/>
        <w:autoSpaceDN/>
        <w:bidi w:val="0"/>
        <w:adjustRightInd/>
        <w:snapToGrid/>
        <w:spacing w:before="179" w:line="240" w:lineRule="exact"/>
        <w:ind w:left="6"/>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传真：</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3"/>
          <w:sz w:val="21"/>
          <w:szCs w:val="21"/>
          <w:highlight w:val="none"/>
          <w:lang w:val="en-US" w:eastAsia="zh-CN"/>
        </w:rPr>
        <w:t xml:space="preserve">           </w:t>
      </w:r>
    </w:p>
    <w:p w14:paraId="0D87B1AA">
      <w:pPr>
        <w:keepNext w:val="0"/>
        <w:keepLines w:val="0"/>
        <w:pageBreakBefore w:val="0"/>
        <w:kinsoku/>
        <w:wordWrap/>
        <w:overflowPunct/>
        <w:topLinePunct w:val="0"/>
        <w:autoSpaceDE/>
        <w:autoSpaceDN/>
        <w:bidi w:val="0"/>
        <w:adjustRightInd/>
        <w:snapToGrid/>
        <w:spacing w:before="184" w:line="240" w:lineRule="exact"/>
        <w:ind w:left="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开户银行：中国建设银行响水支行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pacing w:val="-1"/>
          <w:sz w:val="21"/>
          <w:szCs w:val="21"/>
          <w:highlight w:val="none"/>
          <w:lang w:val="en-US" w:eastAsia="zh-CN"/>
        </w:rPr>
        <w:t xml:space="preserve">           </w:t>
      </w:r>
    </w:p>
    <w:p w14:paraId="5459F24F">
      <w:pPr>
        <w:keepNext w:val="0"/>
        <w:keepLines w:val="0"/>
        <w:pageBreakBefore w:val="0"/>
        <w:kinsoku/>
        <w:wordWrap/>
        <w:overflowPunct/>
        <w:topLinePunct w:val="0"/>
        <w:autoSpaceDE/>
        <w:autoSpaceDN/>
        <w:bidi w:val="0"/>
        <w:adjustRightInd/>
        <w:snapToGrid/>
        <w:spacing w:before="182" w:line="240" w:lineRule="exact"/>
        <w:ind w:left="1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帐号：</w:t>
      </w:r>
      <w:r>
        <w:rPr>
          <w:rFonts w:hint="eastAsia" w:ascii="宋体" w:hAnsi="宋体" w:eastAsia="宋体" w:cs="宋体"/>
          <w:b/>
          <w:bCs/>
          <w:color w:val="auto"/>
          <w:sz w:val="21"/>
          <w:szCs w:val="21"/>
          <w:highlight w:val="none"/>
        </w:rPr>
        <w:t>32001737136052521207</w:t>
      </w:r>
      <w:r>
        <w:rPr>
          <w:rFonts w:hint="eastAsia" w:ascii="宋体" w:hAnsi="宋体" w:eastAsia="宋体" w:cs="宋体"/>
          <w:b/>
          <w:bCs/>
          <w:color w:val="auto"/>
          <w:spacing w:val="-3"/>
          <w:sz w:val="21"/>
          <w:szCs w:val="21"/>
          <w:highlight w:val="none"/>
        </w:rPr>
        <w:t xml:space="preserve">                           </w:t>
      </w:r>
      <w:r>
        <w:rPr>
          <w:rFonts w:hint="eastAsia" w:ascii="宋体" w:hAnsi="宋体" w:cs="宋体"/>
          <w:b/>
          <w:bCs/>
          <w:color w:val="auto"/>
          <w:spacing w:val="-3"/>
          <w:sz w:val="21"/>
          <w:szCs w:val="21"/>
          <w:highlight w:val="none"/>
          <w:lang w:val="en-US" w:eastAsia="zh-CN"/>
        </w:rPr>
        <w:t xml:space="preserve">              </w:t>
      </w:r>
      <w:r>
        <w:rPr>
          <w:rFonts w:hint="eastAsia" w:ascii="宋体" w:hAnsi="宋体" w:eastAsia="宋体" w:cs="宋体"/>
          <w:b/>
          <w:bCs/>
          <w:color w:val="auto"/>
          <w:spacing w:val="-4"/>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w:t>
      </w:r>
    </w:p>
    <w:p w14:paraId="04FFE367">
      <w:pPr>
        <w:keepNext w:val="0"/>
        <w:keepLines w:val="0"/>
        <w:pageBreakBefore w:val="0"/>
        <w:kinsoku/>
        <w:wordWrap/>
        <w:overflowPunct/>
        <w:topLinePunct w:val="0"/>
        <w:autoSpaceDE/>
        <w:autoSpaceDN/>
        <w:bidi w:val="0"/>
        <w:adjustRightInd/>
        <w:snapToGrid/>
        <w:spacing w:line="240" w:lineRule="exact"/>
        <w:jc w:val="both"/>
        <w:textAlignment w:val="auto"/>
        <w:outlineLvl w:val="0"/>
        <w:rPr>
          <w:rFonts w:hint="eastAsia" w:ascii="宋体" w:hAnsi="宋体" w:cs="宋体"/>
          <w:b/>
          <w:color w:val="auto"/>
          <w:sz w:val="44"/>
          <w:szCs w:val="44"/>
          <w:highlight w:val="none"/>
        </w:rPr>
      </w:pPr>
      <w:r>
        <w:rPr>
          <w:rFonts w:hint="eastAsia" w:ascii="宋体" w:hAnsi="宋体" w:eastAsia="宋体" w:cs="宋体"/>
          <w:b/>
          <w:bCs/>
          <w:color w:val="auto"/>
          <w:sz w:val="21"/>
          <w:szCs w:val="21"/>
          <w:highlight w:val="none"/>
        </w:rPr>
        <w:t xml:space="preserve">日期：       </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p w14:paraId="1D4D1681">
      <w:pPr>
        <w:keepNext w:val="0"/>
        <w:keepLines w:val="0"/>
        <w:pageBreakBefore w:val="0"/>
        <w:kinsoku/>
        <w:wordWrap/>
        <w:overflowPunct/>
        <w:topLinePunct w:val="0"/>
        <w:autoSpaceDE/>
        <w:autoSpaceDN/>
        <w:bidi w:val="0"/>
        <w:adjustRightInd/>
        <w:snapToGrid/>
        <w:spacing w:line="240" w:lineRule="exact"/>
        <w:jc w:val="center"/>
        <w:textAlignment w:val="auto"/>
        <w:outlineLvl w:val="0"/>
        <w:rPr>
          <w:rFonts w:hint="eastAsia" w:ascii="宋体" w:hAnsi="宋体" w:cs="宋体"/>
          <w:b/>
          <w:color w:val="auto"/>
          <w:sz w:val="44"/>
          <w:szCs w:val="44"/>
          <w:highlight w:val="none"/>
        </w:rPr>
      </w:pPr>
    </w:p>
    <w:p w14:paraId="7655A34C">
      <w:pPr>
        <w:spacing w:line="360" w:lineRule="auto"/>
        <w:jc w:val="center"/>
        <w:outlineLvl w:val="0"/>
        <w:rPr>
          <w:rFonts w:hint="eastAsia" w:ascii="宋体" w:hAnsi="宋体" w:cs="宋体"/>
          <w:b/>
          <w:color w:val="auto"/>
          <w:sz w:val="44"/>
          <w:szCs w:val="44"/>
          <w:highlight w:val="none"/>
        </w:rPr>
      </w:pPr>
    </w:p>
    <w:p w14:paraId="60EF2C75">
      <w:pPr>
        <w:keepNext w:val="0"/>
        <w:keepLines w:val="0"/>
        <w:pageBreakBefore w:val="0"/>
        <w:spacing w:line="500" w:lineRule="exact"/>
        <w:ind w:left="0" w:firstLine="880" w:firstLineChars="400"/>
        <w:jc w:val="both"/>
        <w:rPr>
          <w:rFonts w:hint="eastAsia" w:ascii="宋体" w:hAnsi="宋体" w:cs="宋体"/>
          <w:b/>
          <w:color w:val="auto"/>
          <w:sz w:val="44"/>
          <w:szCs w:val="44"/>
          <w:highlight w:val="none"/>
        </w:rPr>
      </w:pPr>
      <w:r>
        <w:rPr>
          <w:rFonts w:hint="eastAsia" w:ascii="宋体" w:hAnsi="宋体" w:eastAsia="宋体" w:cs="宋体"/>
          <w:color w:val="auto"/>
          <w:sz w:val="22"/>
          <w:szCs w:val="22"/>
          <w:highlight w:val="none"/>
          <w:lang w:val="zh-CN"/>
        </w:rPr>
        <w:t xml:space="preserve">                   </w:t>
      </w:r>
    </w:p>
    <w:p w14:paraId="647596C9">
      <w:pPr>
        <w:pStyle w:val="2"/>
        <w:rPr>
          <w:rFonts w:hint="eastAsia"/>
          <w:color w:val="auto"/>
          <w:highlight w:val="none"/>
        </w:rPr>
      </w:pPr>
    </w:p>
    <w:p w14:paraId="76DEED37">
      <w:pPr>
        <w:spacing w:line="360" w:lineRule="auto"/>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第五章  投标文件格式</w:t>
      </w:r>
    </w:p>
    <w:p w14:paraId="7C6AD845">
      <w:pPr>
        <w:jc w:val="center"/>
        <w:rPr>
          <w:rFonts w:ascii="宋体" w:hAnsi="宋体" w:cs="宋体"/>
          <w:color w:val="auto"/>
          <w:highlight w:val="none"/>
        </w:rPr>
      </w:pPr>
    </w:p>
    <w:p w14:paraId="0B0198BF">
      <w:pPr>
        <w:spacing w:beforeLines="25" w:afterLines="25"/>
        <w:ind w:firstLine="562" w:firstLineChars="200"/>
        <w:jc w:val="center"/>
        <w:outlineLvl w:val="1"/>
        <w:rPr>
          <w:rFonts w:ascii="宋体" w:hAnsi="宋体" w:cs="宋体"/>
          <w:b/>
          <w:color w:val="auto"/>
          <w:sz w:val="28"/>
          <w:szCs w:val="28"/>
          <w:highlight w:val="none"/>
        </w:rPr>
      </w:pPr>
      <w:bookmarkStart w:id="145" w:name="_Toc13447"/>
      <w:bookmarkStart w:id="146" w:name="_Toc15924"/>
      <w:bookmarkStart w:id="147" w:name="_Toc17337"/>
      <w:bookmarkStart w:id="148" w:name="_Toc29398"/>
      <w:bookmarkStart w:id="149" w:name="_Toc14633"/>
      <w:bookmarkStart w:id="150" w:name="_Toc23629"/>
      <w:r>
        <w:rPr>
          <w:rFonts w:hint="eastAsia" w:ascii="宋体" w:hAnsi="宋体" w:cs="宋体"/>
          <w:b/>
          <w:color w:val="auto"/>
          <w:sz w:val="28"/>
          <w:szCs w:val="28"/>
          <w:highlight w:val="none"/>
        </w:rPr>
        <w:t>封面</w:t>
      </w:r>
      <w:bookmarkEnd w:id="145"/>
      <w:bookmarkEnd w:id="146"/>
      <w:bookmarkEnd w:id="147"/>
      <w:bookmarkEnd w:id="148"/>
      <w:bookmarkEnd w:id="149"/>
      <w:bookmarkEnd w:id="150"/>
    </w:p>
    <w:p w14:paraId="026334F4">
      <w:pPr>
        <w:pStyle w:val="37"/>
        <w:ind w:firstLine="0" w:firstLineChars="0"/>
        <w:rPr>
          <w:rFonts w:ascii="宋体" w:hAnsi="宋体" w:cs="宋体"/>
          <w:color w:val="auto"/>
          <w:highlight w:val="none"/>
        </w:rPr>
      </w:pPr>
      <w:r>
        <w:rPr>
          <w:rFonts w:hint="eastAsia" w:ascii="宋体" w:hAnsi="宋体" w:cs="宋体"/>
          <w:color w:val="auto"/>
          <w:highlight w:val="none"/>
        </w:rPr>
        <w:t xml:space="preserve"> </w:t>
      </w:r>
    </w:p>
    <w:p w14:paraId="2E9C21EC">
      <w:pPr>
        <w:pStyle w:val="37"/>
        <w:ind w:firstLine="0" w:firstLineChars="0"/>
        <w:rPr>
          <w:rFonts w:ascii="宋体" w:hAnsi="宋体" w:cs="宋体"/>
          <w:color w:val="auto"/>
          <w:highlight w:val="none"/>
        </w:rPr>
      </w:pPr>
    </w:p>
    <w:p w14:paraId="0F2C5CCE">
      <w:pPr>
        <w:pStyle w:val="37"/>
        <w:ind w:firstLine="0" w:firstLineChars="0"/>
        <w:rPr>
          <w:rFonts w:ascii="宋体" w:hAnsi="宋体" w:cs="宋体"/>
          <w:color w:val="auto"/>
          <w:highlight w:val="none"/>
        </w:rPr>
      </w:pPr>
    </w:p>
    <w:p w14:paraId="427699F7">
      <w:pPr>
        <w:pStyle w:val="37"/>
        <w:ind w:firstLine="943"/>
        <w:rPr>
          <w:rFonts w:ascii="宋体" w:hAnsi="宋体" w:cs="宋体"/>
          <w:color w:val="auto"/>
          <w:highlight w:val="none"/>
        </w:rPr>
      </w:pPr>
      <w:r>
        <w:rPr>
          <w:rFonts w:hint="eastAsia" w:ascii="宋体" w:hAnsi="宋体" w:cs="宋体"/>
          <w:b/>
          <w:bCs/>
          <w:color w:val="auto"/>
          <w:spacing w:val="15"/>
          <w:sz w:val="44"/>
          <w:szCs w:val="44"/>
          <w:highlight w:val="none"/>
          <w:u w:val="single"/>
        </w:rPr>
        <w:t xml:space="preserve">                         项目</w:t>
      </w:r>
    </w:p>
    <w:p w14:paraId="5C42E225">
      <w:pPr>
        <w:spacing w:line="360" w:lineRule="auto"/>
        <w:jc w:val="center"/>
        <w:rPr>
          <w:rFonts w:ascii="宋体" w:hAnsi="宋体" w:cs="宋体"/>
          <w:color w:val="auto"/>
          <w:sz w:val="36"/>
          <w:szCs w:val="36"/>
          <w:highlight w:val="none"/>
        </w:rPr>
      </w:pPr>
    </w:p>
    <w:p w14:paraId="63E051AE">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投标文件</w:t>
      </w:r>
    </w:p>
    <w:p w14:paraId="74A4F51D">
      <w:pPr>
        <w:spacing w:line="360" w:lineRule="auto"/>
        <w:jc w:val="center"/>
        <w:rPr>
          <w:rFonts w:ascii="宋体" w:hAnsi="宋体" w:cs="宋体"/>
          <w:color w:val="auto"/>
          <w:sz w:val="36"/>
          <w:szCs w:val="36"/>
          <w:highlight w:val="none"/>
        </w:rPr>
      </w:pPr>
      <w:r>
        <w:rPr>
          <w:rFonts w:hint="eastAsia" w:ascii="宋体" w:hAnsi="宋体" w:cs="宋体"/>
          <w:color w:val="auto"/>
          <w:sz w:val="32"/>
          <w:szCs w:val="32"/>
          <w:highlight w:val="none"/>
        </w:rPr>
        <w:t>项目编号：</w:t>
      </w:r>
      <w:r>
        <w:rPr>
          <w:rFonts w:hint="eastAsia" w:ascii="宋体" w:hAnsi="宋体" w:eastAsia="宋体" w:cs="宋体"/>
          <w:bCs/>
          <w:color w:val="auto"/>
          <w:kern w:val="0"/>
          <w:sz w:val="28"/>
          <w:szCs w:val="28"/>
          <w:highlight w:val="none"/>
          <w:lang w:val="en-US" w:eastAsia="zh-CN"/>
        </w:rPr>
        <w:t>XSX-GQCG-20260</w:t>
      </w:r>
      <w:r>
        <w:rPr>
          <w:rFonts w:hint="eastAsia" w:ascii="宋体" w:hAnsi="宋体" w:cs="宋体"/>
          <w:bCs/>
          <w:color w:val="auto"/>
          <w:kern w:val="0"/>
          <w:sz w:val="28"/>
          <w:szCs w:val="28"/>
          <w:highlight w:val="none"/>
          <w:lang w:val="en-US" w:eastAsia="zh-CN"/>
        </w:rPr>
        <w:t>4016</w:t>
      </w:r>
      <w:r>
        <w:rPr>
          <w:rFonts w:hint="eastAsia" w:ascii="宋体" w:hAnsi="宋体" w:eastAsia="宋体" w:cs="宋体"/>
          <w:bCs/>
          <w:color w:val="auto"/>
          <w:kern w:val="0"/>
          <w:sz w:val="28"/>
          <w:szCs w:val="28"/>
          <w:highlight w:val="none"/>
        </w:rPr>
        <w:t xml:space="preserve"> </w:t>
      </w:r>
    </w:p>
    <w:p w14:paraId="22AA1138">
      <w:pPr>
        <w:rPr>
          <w:rFonts w:ascii="宋体" w:hAnsi="宋体" w:cs="宋体"/>
          <w:color w:val="auto"/>
          <w:sz w:val="28"/>
          <w:szCs w:val="28"/>
          <w:highlight w:val="none"/>
        </w:rPr>
      </w:pPr>
    </w:p>
    <w:p w14:paraId="30C8707E">
      <w:pPr>
        <w:rPr>
          <w:rFonts w:ascii="宋体" w:hAnsi="宋体" w:cs="宋体"/>
          <w:b/>
          <w:color w:val="auto"/>
          <w:sz w:val="28"/>
          <w:szCs w:val="28"/>
          <w:highlight w:val="none"/>
        </w:rPr>
      </w:pPr>
    </w:p>
    <w:p w14:paraId="7987A81D">
      <w:pPr>
        <w:pStyle w:val="38"/>
        <w:rPr>
          <w:rFonts w:eastAsia="宋体"/>
          <w:b/>
          <w:color w:val="auto"/>
          <w:sz w:val="28"/>
          <w:szCs w:val="28"/>
          <w:highlight w:val="none"/>
        </w:rPr>
      </w:pPr>
    </w:p>
    <w:p w14:paraId="2748EBF7">
      <w:pPr>
        <w:pStyle w:val="38"/>
        <w:rPr>
          <w:rFonts w:eastAsia="宋体"/>
          <w:b/>
          <w:color w:val="auto"/>
          <w:sz w:val="28"/>
          <w:szCs w:val="28"/>
          <w:highlight w:val="none"/>
        </w:rPr>
      </w:pPr>
    </w:p>
    <w:p w14:paraId="325020F2">
      <w:pPr>
        <w:spacing w:line="360" w:lineRule="auto"/>
        <w:ind w:firstLine="1800" w:firstLineChars="600"/>
        <w:rPr>
          <w:rFonts w:ascii="宋体" w:hAnsi="宋体" w:cs="宋体"/>
          <w:color w:val="auto"/>
          <w:sz w:val="30"/>
          <w:szCs w:val="30"/>
          <w:highlight w:val="none"/>
        </w:rPr>
      </w:pPr>
      <w:r>
        <w:rPr>
          <w:rFonts w:hint="eastAsia" w:ascii="宋体" w:hAnsi="宋体" w:cs="宋体"/>
          <w:color w:val="auto"/>
          <w:sz w:val="30"/>
          <w:szCs w:val="30"/>
          <w:highlight w:val="none"/>
        </w:rPr>
        <w:t>投标人：</w:t>
      </w:r>
      <w:r>
        <w:rPr>
          <w:rFonts w:hint="eastAsia" w:ascii="宋体" w:hAnsi="宋体" w:cs="宋体"/>
          <w:color w:val="auto"/>
          <w:sz w:val="30"/>
          <w:szCs w:val="30"/>
          <w:highlight w:val="none"/>
          <w:u w:val="singl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rPr>
        <w:t xml:space="preserve">         （盖章）</w:t>
      </w:r>
    </w:p>
    <w:p w14:paraId="1F731549">
      <w:pPr>
        <w:pStyle w:val="9"/>
        <w:spacing w:line="360" w:lineRule="auto"/>
        <w:rPr>
          <w:rFonts w:ascii="宋体" w:hAnsi="宋体" w:eastAsia="宋体" w:cs="宋体"/>
          <w:color w:val="auto"/>
          <w:kern w:val="2"/>
          <w:position w:val="0"/>
          <w:szCs w:val="30"/>
          <w:highlight w:val="none"/>
        </w:rPr>
      </w:pPr>
    </w:p>
    <w:p w14:paraId="1ECCE312">
      <w:pPr>
        <w:jc w:val="center"/>
        <w:rPr>
          <w:rFonts w:ascii="宋体" w:hAnsi="宋体" w:cs="宋体"/>
          <w:color w:val="auto"/>
          <w:sz w:val="30"/>
          <w:szCs w:val="30"/>
          <w:highlight w:val="none"/>
          <w:u w:val="single"/>
        </w:rPr>
      </w:pPr>
      <w:r>
        <w:rPr>
          <w:rFonts w:hint="eastAsia" w:ascii="宋体" w:hAnsi="宋体" w:cs="宋体"/>
          <w:color w:val="auto"/>
          <w:sz w:val="30"/>
          <w:szCs w:val="30"/>
          <w:highlight w:val="none"/>
        </w:rPr>
        <w:t>法定代表人（负责人）或授权委托人：</w:t>
      </w:r>
      <w:r>
        <w:rPr>
          <w:rFonts w:hint="eastAsia" w:ascii="宋体" w:hAnsi="宋体" w:cs="宋体"/>
          <w:color w:val="auto"/>
          <w:sz w:val="30"/>
          <w:szCs w:val="30"/>
          <w:highlight w:val="none"/>
          <w:u w:val="singl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（签字或盖章）</w:t>
      </w:r>
    </w:p>
    <w:p w14:paraId="7B9E42F9">
      <w:pPr>
        <w:ind w:firstLine="2550" w:firstLineChars="850"/>
        <w:rPr>
          <w:rFonts w:ascii="宋体" w:hAnsi="宋体" w:cs="宋体"/>
          <w:color w:val="auto"/>
          <w:sz w:val="30"/>
          <w:szCs w:val="30"/>
          <w:highlight w:val="none"/>
          <w:u w:val="single"/>
        </w:rPr>
      </w:pPr>
    </w:p>
    <w:p w14:paraId="765075DC">
      <w:pPr>
        <w:ind w:firstLine="1800" w:firstLineChars="600"/>
        <w:rPr>
          <w:rFonts w:ascii="宋体" w:hAnsi="宋体" w:cs="宋体"/>
          <w:color w:val="auto"/>
          <w:sz w:val="30"/>
          <w:szCs w:val="30"/>
          <w:highlight w:val="none"/>
          <w:u w:val="singl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14:paraId="09F0EB1D">
      <w:pPr>
        <w:widowControl/>
        <w:tabs>
          <w:tab w:val="left" w:pos="900"/>
        </w:tabs>
        <w:spacing w:line="440" w:lineRule="exact"/>
        <w:ind w:left="420" w:leftChars="200"/>
        <w:rPr>
          <w:rFonts w:ascii="宋体" w:hAnsi="宋体" w:cs="宋体"/>
          <w:color w:val="auto"/>
          <w:sz w:val="24"/>
          <w:highlight w:val="none"/>
        </w:rPr>
      </w:pPr>
      <w:r>
        <w:rPr>
          <w:rFonts w:hint="eastAsia" w:ascii="宋体" w:hAnsi="宋体" w:cs="宋体"/>
          <w:color w:val="auto"/>
          <w:sz w:val="28"/>
          <w:szCs w:val="28"/>
          <w:highlight w:val="none"/>
        </w:rPr>
        <w:br w:type="page"/>
      </w:r>
      <w:bookmarkStart w:id="151" w:name="_Toc24624"/>
      <w:bookmarkStart w:id="152" w:name="_Toc2252"/>
    </w:p>
    <w:p w14:paraId="19D3E7CD">
      <w:pPr>
        <w:pStyle w:val="38"/>
        <w:rPr>
          <w:rFonts w:eastAsia="宋体"/>
          <w:color w:val="auto"/>
          <w:highlight w:val="none"/>
        </w:rPr>
        <w:sectPr>
          <w:footerReference r:id="rId6" w:type="default"/>
          <w:pgSz w:w="11906" w:h="16838"/>
          <w:pgMar w:top="1440" w:right="1440" w:bottom="1440" w:left="1440" w:header="851" w:footer="686" w:gutter="0"/>
          <w:pgNumType w:fmt="decimal"/>
          <w:cols w:space="0" w:num="1"/>
          <w:docGrid w:type="lines" w:linePitch="317" w:charSpace="0"/>
        </w:sectPr>
      </w:pPr>
    </w:p>
    <w:p w14:paraId="7833B2DD">
      <w:pPr>
        <w:spacing w:beforeLines="25" w:afterLines="25"/>
        <w:jc w:val="center"/>
        <w:outlineLvl w:val="1"/>
        <w:rPr>
          <w:rFonts w:ascii="宋体" w:hAnsi="宋体" w:cs="宋体"/>
          <w:b/>
          <w:color w:val="auto"/>
          <w:sz w:val="28"/>
          <w:szCs w:val="28"/>
          <w:highlight w:val="none"/>
        </w:rPr>
      </w:pPr>
      <w:bookmarkStart w:id="153" w:name="_Toc12658"/>
      <w:bookmarkStart w:id="154" w:name="_Toc438714870"/>
      <w:bookmarkStart w:id="155" w:name="_Toc407"/>
      <w:bookmarkStart w:id="156" w:name="_Toc26829"/>
      <w:bookmarkStart w:id="157" w:name="_Toc7992"/>
      <w:bookmarkStart w:id="158" w:name="_Toc6287"/>
      <w:r>
        <w:rPr>
          <w:rFonts w:hint="eastAsia" w:ascii="宋体" w:hAnsi="宋体" w:cs="宋体"/>
          <w:b/>
          <w:color w:val="auto"/>
          <w:sz w:val="28"/>
          <w:szCs w:val="28"/>
          <w:highlight w:val="none"/>
        </w:rPr>
        <w:t>目  录</w:t>
      </w:r>
      <w:bookmarkEnd w:id="153"/>
      <w:bookmarkEnd w:id="154"/>
      <w:bookmarkEnd w:id="155"/>
      <w:bookmarkEnd w:id="156"/>
      <w:bookmarkEnd w:id="157"/>
      <w:bookmarkEnd w:id="158"/>
    </w:p>
    <w:p w14:paraId="2413CB93">
      <w:pPr>
        <w:adjustRightInd w:val="0"/>
        <w:snapToGrid w:val="0"/>
        <w:spacing w:line="460" w:lineRule="exact"/>
        <w:ind w:firstLine="480" w:firstLineChars="200"/>
        <w:jc w:val="left"/>
        <w:rPr>
          <w:rFonts w:ascii="宋体" w:hAnsi="宋体" w:cs="宋体"/>
          <w:color w:val="auto"/>
          <w:sz w:val="24"/>
          <w:highlight w:val="none"/>
        </w:rPr>
      </w:pPr>
      <w:bookmarkStart w:id="159" w:name="_Toc17939"/>
      <w:bookmarkStart w:id="160" w:name="_Toc16071"/>
      <w:bookmarkStart w:id="161" w:name="_Toc5447"/>
      <w:r>
        <w:rPr>
          <w:rFonts w:hint="eastAsia" w:ascii="宋体" w:hAnsi="宋体" w:cs="宋体"/>
          <w:color w:val="auto"/>
          <w:sz w:val="24"/>
          <w:highlight w:val="none"/>
        </w:rPr>
        <w:t>1、投标函</w:t>
      </w:r>
    </w:p>
    <w:p w14:paraId="065DEBA5">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2、法定代表人身份证明书</w:t>
      </w:r>
    </w:p>
    <w:p w14:paraId="0176CA73">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3、授权委托书（如果有）</w:t>
      </w:r>
    </w:p>
    <w:p w14:paraId="39FE6D1F">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4、开标一览表</w:t>
      </w:r>
    </w:p>
    <w:p w14:paraId="4F050057">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5、投标分项明细报价表</w:t>
      </w:r>
    </w:p>
    <w:p w14:paraId="29806B71">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6、技术参数偏离表</w:t>
      </w:r>
    </w:p>
    <w:p w14:paraId="1A44E5FA">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7、资格证明文件</w:t>
      </w:r>
    </w:p>
    <w:p w14:paraId="6AC23C37">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kern w:val="0"/>
          <w:sz w:val="24"/>
          <w:highlight w:val="none"/>
        </w:rPr>
        <w:t>方案（如有）</w:t>
      </w:r>
    </w:p>
    <w:p w14:paraId="530954EE">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9、采购事前信用承诺书</w:t>
      </w:r>
    </w:p>
    <w:p w14:paraId="2D5C20FC">
      <w:pPr>
        <w:adjustRightInd w:val="0"/>
        <w:snapToGrid w:val="0"/>
        <w:spacing w:line="460" w:lineRule="exact"/>
        <w:ind w:firstLine="480" w:firstLineChars="200"/>
        <w:jc w:val="left"/>
        <w:rPr>
          <w:color w:val="auto"/>
          <w:highlight w:val="none"/>
        </w:rPr>
      </w:pPr>
      <w:r>
        <w:rPr>
          <w:rFonts w:hint="eastAsia" w:ascii="宋体" w:hAnsi="宋体" w:cs="宋体"/>
          <w:color w:val="auto"/>
          <w:sz w:val="24"/>
          <w:highlight w:val="none"/>
        </w:rPr>
        <w:t>10、招标文件要求提供或投标人认为有必要提供的其他文件</w:t>
      </w:r>
    </w:p>
    <w:p w14:paraId="1D953F9F">
      <w:pPr>
        <w:spacing w:line="360" w:lineRule="auto"/>
        <w:jc w:val="center"/>
        <w:outlineLvl w:val="1"/>
        <w:rPr>
          <w:rFonts w:ascii="宋体" w:hAnsi="宋体" w:cs="宋体"/>
          <w:b/>
          <w:bCs/>
          <w:color w:val="auto"/>
          <w:sz w:val="28"/>
          <w:szCs w:val="28"/>
          <w:highlight w:val="none"/>
        </w:rPr>
      </w:pPr>
      <w:r>
        <w:rPr>
          <w:rFonts w:hint="eastAsia" w:hAnsi="宋体" w:cs="宋体"/>
          <w:color w:val="auto"/>
          <w:sz w:val="24"/>
          <w:highlight w:val="none"/>
        </w:rPr>
        <w:br w:type="page"/>
      </w:r>
      <w:bookmarkStart w:id="162" w:name="_Toc10067"/>
      <w:r>
        <w:rPr>
          <w:rFonts w:hint="eastAsia" w:ascii="宋体" w:hAnsi="宋体" w:cs="宋体"/>
          <w:b/>
          <w:bCs/>
          <w:color w:val="auto"/>
          <w:sz w:val="28"/>
          <w:szCs w:val="28"/>
          <w:highlight w:val="none"/>
        </w:rPr>
        <w:t>一、投标函</w:t>
      </w:r>
      <w:bookmarkEnd w:id="151"/>
      <w:bookmarkEnd w:id="152"/>
      <w:bookmarkEnd w:id="159"/>
      <w:bookmarkEnd w:id="160"/>
      <w:bookmarkEnd w:id="161"/>
      <w:bookmarkEnd w:id="162"/>
    </w:p>
    <w:p w14:paraId="63142317">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         </w:t>
      </w:r>
    </w:p>
    <w:p w14:paraId="36F45D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根据贵方项目编号为</w:t>
      </w:r>
      <w:r>
        <w:rPr>
          <w:rFonts w:hint="eastAsia" w:ascii="宋体" w:hAnsi="宋体" w:cs="宋体"/>
          <w:color w:val="auto"/>
          <w:sz w:val="24"/>
          <w:highlight w:val="none"/>
          <w:u w:val="single"/>
        </w:rPr>
        <w:t>（           ）</w:t>
      </w:r>
      <w:r>
        <w:rPr>
          <w:rFonts w:hint="eastAsia" w:ascii="宋体" w:hAnsi="宋体" w:cs="宋体"/>
          <w:color w:val="auto"/>
          <w:sz w:val="24"/>
          <w:highlight w:val="none"/>
        </w:rPr>
        <w:t>的</w:t>
      </w:r>
      <w:r>
        <w:rPr>
          <w:rFonts w:hint="eastAsia" w:ascii="宋体" w:hAnsi="宋体" w:cs="宋体"/>
          <w:bCs/>
          <w:color w:val="auto"/>
          <w:kern w:val="0"/>
          <w:sz w:val="24"/>
          <w:highlight w:val="none"/>
          <w:u w:val="single"/>
        </w:rPr>
        <w:t xml:space="preserve">       （项目名称）</w:t>
      </w:r>
      <w:r>
        <w:rPr>
          <w:rFonts w:hint="eastAsia" w:ascii="宋体" w:hAnsi="宋体" w:cs="宋体"/>
          <w:color w:val="auto"/>
          <w:sz w:val="24"/>
          <w:highlight w:val="none"/>
        </w:rPr>
        <w:t>招标采购公告和招标文件，我方授权代表</w:t>
      </w:r>
      <w:r>
        <w:rPr>
          <w:rFonts w:hint="eastAsia" w:ascii="宋体" w:hAnsi="宋体" w:cs="宋体"/>
          <w:color w:val="auto"/>
          <w:sz w:val="24"/>
          <w:highlight w:val="none"/>
          <w:u w:val="single"/>
        </w:rPr>
        <w:t xml:space="preserve">（姓名)        </w:t>
      </w:r>
      <w:r>
        <w:rPr>
          <w:rFonts w:hint="eastAsia" w:ascii="宋体" w:hAnsi="宋体" w:cs="宋体"/>
          <w:color w:val="auto"/>
          <w:sz w:val="24"/>
          <w:highlight w:val="none"/>
        </w:rPr>
        <w:t>经正式授权并代表投标人</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提交投标文件。</w:t>
      </w:r>
    </w:p>
    <w:p w14:paraId="187570FE">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1.按招标文件规定的各项要求提供合格的产品和服务。</w:t>
      </w:r>
    </w:p>
    <w:p w14:paraId="5F9C837D">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AD62165">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4D96DF7B">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4.我们同意从规定的开标日期起遵循本投标文件，并在规定的投标有效期期满之前均具有约束力。</w:t>
      </w:r>
    </w:p>
    <w:p w14:paraId="192AA0A4">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5.如果在开标后规定的投标有效期内撤回投标或中标后拒绝签订合同，我们接受相关部门作出的处理决定。</w:t>
      </w:r>
    </w:p>
    <w:p w14:paraId="02D3D148">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2C4A6457">
      <w:pPr>
        <w:pStyle w:val="46"/>
        <w:adjustRightInd/>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7.一旦我方中标,我方将根据招标文件的规定，严格履行合同的责任和义务,并保证在规定的时间完成项目，交付甲方验收、使用。</w:t>
      </w:r>
    </w:p>
    <w:p w14:paraId="297638AC">
      <w:pPr>
        <w:spacing w:line="360" w:lineRule="auto"/>
        <w:ind w:firstLine="480" w:firstLineChars="200"/>
        <w:rPr>
          <w:rFonts w:ascii="宋体" w:hAnsi="宋体" w:cs="宋体"/>
          <w:color w:val="auto"/>
          <w:sz w:val="24"/>
          <w:highlight w:val="none"/>
        </w:rPr>
      </w:pPr>
    </w:p>
    <w:p w14:paraId="1226F7AE">
      <w:pPr>
        <w:tabs>
          <w:tab w:val="left" w:pos="2814"/>
        </w:tabs>
        <w:spacing w:line="360" w:lineRule="auto"/>
        <w:rPr>
          <w:rFonts w:ascii="宋体" w:hAnsi="宋体" w:cs="宋体"/>
          <w:color w:val="auto"/>
          <w:w w:val="90"/>
          <w:sz w:val="24"/>
          <w:highlight w:val="none"/>
        </w:rPr>
      </w:pPr>
    </w:p>
    <w:p w14:paraId="2DA48023">
      <w:pPr>
        <w:tabs>
          <w:tab w:val="left" w:pos="2814"/>
        </w:tabs>
        <w:spacing w:line="360" w:lineRule="auto"/>
        <w:jc w:val="left"/>
        <w:rPr>
          <w:rFonts w:ascii="宋体" w:hAnsi="宋体" w:cs="宋体"/>
          <w:color w:val="auto"/>
          <w:w w:val="90"/>
          <w:sz w:val="24"/>
          <w:highlight w:val="none"/>
        </w:rPr>
      </w:pPr>
      <w:r>
        <w:rPr>
          <w:rFonts w:hint="eastAsia" w:ascii="宋体" w:hAnsi="宋体" w:cs="宋体"/>
          <w:color w:val="auto"/>
          <w:sz w:val="24"/>
          <w:highlight w:val="none"/>
        </w:rPr>
        <w:t>投标人（盖章）：</w:t>
      </w:r>
    </w:p>
    <w:p w14:paraId="1C7555ED">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法定代表人或其授权代表（签字或盖章）</w:t>
      </w:r>
      <w:r>
        <w:rPr>
          <w:rFonts w:hint="eastAsia" w:ascii="宋体" w:hAnsi="宋体" w:cs="宋体"/>
          <w:color w:val="auto"/>
          <w:w w:val="90"/>
          <w:sz w:val="24"/>
          <w:highlight w:val="none"/>
        </w:rPr>
        <w:t>：</w:t>
      </w:r>
    </w:p>
    <w:p w14:paraId="1EC9AF51">
      <w:pPr>
        <w:tabs>
          <w:tab w:val="left" w:pos="2814"/>
        </w:tabs>
        <w:spacing w:line="360" w:lineRule="auto"/>
        <w:jc w:val="left"/>
        <w:rPr>
          <w:rFonts w:ascii="宋体" w:hAnsi="宋体" w:cs="宋体"/>
          <w:color w:val="auto"/>
          <w:w w:val="90"/>
          <w:sz w:val="24"/>
          <w:highlight w:val="none"/>
        </w:rPr>
      </w:pPr>
      <w:r>
        <w:rPr>
          <w:rFonts w:hint="eastAsia" w:ascii="宋体" w:hAnsi="宋体" w:cs="宋体"/>
          <w:color w:val="auto"/>
          <w:sz w:val="24"/>
          <w:highlight w:val="none"/>
        </w:rPr>
        <w:t>地址：</w:t>
      </w:r>
    </w:p>
    <w:p w14:paraId="6816332D">
      <w:pPr>
        <w:tabs>
          <w:tab w:val="left" w:pos="2814"/>
        </w:tabs>
        <w:spacing w:line="360" w:lineRule="auto"/>
        <w:jc w:val="left"/>
        <w:rPr>
          <w:rFonts w:ascii="宋体" w:hAnsi="宋体" w:cs="宋体"/>
          <w:color w:val="auto"/>
          <w:w w:val="90"/>
          <w:sz w:val="24"/>
          <w:highlight w:val="none"/>
        </w:rPr>
      </w:pPr>
      <w:r>
        <w:rPr>
          <w:rFonts w:hint="eastAsia" w:ascii="宋体" w:hAnsi="宋体" w:cs="宋体"/>
          <w:color w:val="auto"/>
          <w:sz w:val="24"/>
          <w:highlight w:val="none"/>
        </w:rPr>
        <w:t xml:space="preserve">传真： </w:t>
      </w:r>
    </w:p>
    <w:p w14:paraId="58FBAC2A">
      <w:pPr>
        <w:tabs>
          <w:tab w:val="left" w:pos="2814"/>
        </w:tabs>
        <w:spacing w:line="360" w:lineRule="auto"/>
        <w:jc w:val="left"/>
        <w:rPr>
          <w:rFonts w:ascii="宋体" w:hAnsi="宋体" w:cs="宋体"/>
          <w:color w:val="auto"/>
          <w:w w:val="90"/>
          <w:sz w:val="24"/>
          <w:highlight w:val="none"/>
        </w:rPr>
      </w:pPr>
      <w:r>
        <w:rPr>
          <w:rFonts w:hint="eastAsia" w:ascii="宋体" w:hAnsi="宋体" w:cs="宋体"/>
          <w:color w:val="auto"/>
          <w:sz w:val="24"/>
          <w:highlight w:val="none"/>
        </w:rPr>
        <w:t>电话：</w:t>
      </w:r>
    </w:p>
    <w:p w14:paraId="160EE0DA">
      <w:pPr>
        <w:tabs>
          <w:tab w:val="left" w:pos="2814"/>
        </w:tabs>
        <w:spacing w:line="360" w:lineRule="auto"/>
        <w:jc w:val="left"/>
        <w:rPr>
          <w:rFonts w:ascii="宋体" w:hAnsi="宋体" w:cs="宋体"/>
          <w:color w:val="auto"/>
          <w:sz w:val="24"/>
          <w:highlight w:val="none"/>
        </w:rPr>
      </w:pPr>
      <w:r>
        <w:rPr>
          <w:rFonts w:hint="eastAsia" w:ascii="宋体" w:hAnsi="宋体" w:cs="宋体"/>
          <w:color w:val="auto"/>
          <w:sz w:val="24"/>
          <w:highlight w:val="none"/>
        </w:rPr>
        <w:t>日期：    年   月   日</w:t>
      </w:r>
    </w:p>
    <w:p w14:paraId="2430CAD1">
      <w:pPr>
        <w:tabs>
          <w:tab w:val="center" w:pos="4621"/>
          <w:tab w:val="left" w:pos="6135"/>
        </w:tabs>
        <w:spacing w:line="360" w:lineRule="auto"/>
        <w:jc w:val="center"/>
        <w:outlineLvl w:val="1"/>
        <w:rPr>
          <w:rFonts w:ascii="宋体" w:hAnsi="宋体" w:cs="宋体"/>
          <w:b/>
          <w:bCs/>
          <w:color w:val="auto"/>
          <w:sz w:val="28"/>
          <w:szCs w:val="28"/>
          <w:highlight w:val="none"/>
        </w:rPr>
      </w:pPr>
      <w:r>
        <w:rPr>
          <w:rFonts w:hint="eastAsia" w:ascii="宋体" w:hAnsi="宋体" w:cs="宋体"/>
          <w:color w:val="auto"/>
          <w:kern w:val="0"/>
          <w:sz w:val="24"/>
          <w:highlight w:val="none"/>
        </w:rPr>
        <w:br w:type="page"/>
      </w:r>
      <w:bookmarkStart w:id="163" w:name="_Toc158"/>
      <w:bookmarkStart w:id="164" w:name="_Toc16421"/>
      <w:bookmarkStart w:id="165" w:name="_Toc6260"/>
      <w:bookmarkStart w:id="166" w:name="_Toc19007"/>
      <w:bookmarkStart w:id="167" w:name="_Toc137"/>
      <w:bookmarkStart w:id="168" w:name="_Toc12557"/>
      <w:bookmarkStart w:id="169" w:name="_Toc32090"/>
      <w:bookmarkStart w:id="170" w:name="_Toc6449"/>
      <w:bookmarkStart w:id="171" w:name="_Toc20204"/>
      <w:bookmarkStart w:id="172" w:name="_Toc23264"/>
      <w:bookmarkStart w:id="173" w:name="_Toc12122"/>
      <w:bookmarkStart w:id="174" w:name="_Toc46"/>
      <w:bookmarkStart w:id="175" w:name="_Toc31418"/>
      <w:r>
        <w:rPr>
          <w:rFonts w:hint="eastAsia" w:ascii="宋体" w:hAnsi="宋体" w:cs="宋体"/>
          <w:b/>
          <w:bCs/>
          <w:color w:val="auto"/>
          <w:sz w:val="28"/>
          <w:szCs w:val="28"/>
          <w:highlight w:val="none"/>
        </w:rPr>
        <w:t>二、法定代表人（负责人）身份证明书</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421FFA23">
      <w:pPr>
        <w:spacing w:line="360" w:lineRule="auto"/>
        <w:ind w:firstLine="480" w:firstLineChars="200"/>
        <w:rPr>
          <w:rFonts w:ascii="宋体" w:hAnsi="宋体" w:cs="宋体"/>
          <w:color w:val="auto"/>
          <w:sz w:val="24"/>
          <w:highlight w:val="none"/>
        </w:rPr>
      </w:pPr>
    </w:p>
    <w:p w14:paraId="0EC9EEA9">
      <w:pPr>
        <w:spacing w:line="360" w:lineRule="auto"/>
        <w:ind w:firstLine="480" w:firstLineChars="200"/>
        <w:rPr>
          <w:rFonts w:ascii="宋体" w:hAnsi="宋体" w:cs="宋体"/>
          <w:color w:val="auto"/>
          <w:sz w:val="24"/>
          <w:highlight w:val="none"/>
        </w:rPr>
      </w:pPr>
    </w:p>
    <w:p w14:paraId="7A783D0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p>
    <w:p w14:paraId="6B74FB1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131C2C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599CA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52AC11A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78E1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的法定代表人（负责人）。</w:t>
      </w:r>
    </w:p>
    <w:p w14:paraId="2AE447A7">
      <w:pPr>
        <w:spacing w:line="360" w:lineRule="auto"/>
        <w:ind w:firstLine="480" w:firstLineChars="200"/>
        <w:rPr>
          <w:rFonts w:ascii="宋体" w:hAnsi="宋体" w:cs="宋体"/>
          <w:color w:val="auto"/>
          <w:sz w:val="24"/>
          <w:highlight w:val="none"/>
        </w:rPr>
      </w:pPr>
    </w:p>
    <w:p w14:paraId="2540F7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1562B4BA">
      <w:pPr>
        <w:spacing w:line="360" w:lineRule="auto"/>
        <w:ind w:firstLine="3840" w:firstLineChars="1600"/>
        <w:rPr>
          <w:rFonts w:ascii="宋体" w:hAnsi="宋体" w:cs="宋体"/>
          <w:color w:val="auto"/>
          <w:sz w:val="24"/>
          <w:highlight w:val="none"/>
        </w:rPr>
      </w:pPr>
    </w:p>
    <w:p w14:paraId="0D1B418E">
      <w:pPr>
        <w:spacing w:line="360" w:lineRule="auto"/>
        <w:ind w:firstLine="1080" w:firstLineChars="450"/>
        <w:rPr>
          <w:rFonts w:ascii="宋体" w:hAnsi="宋体" w:cs="宋体"/>
          <w:color w:val="auto"/>
          <w:kern w:val="0"/>
          <w:sz w:val="24"/>
          <w:highlight w:val="none"/>
        </w:rPr>
      </w:pPr>
      <w:r>
        <w:rPr>
          <w:rFonts w:hint="eastAsia" w:ascii="宋体" w:hAnsi="宋体" w:cs="宋体"/>
          <w:color w:val="auto"/>
          <w:kern w:val="0"/>
          <w:sz w:val="24"/>
          <w:highlight w:val="none"/>
        </w:rPr>
        <w:t xml:space="preserve">投标人（盖章）： </w:t>
      </w:r>
    </w:p>
    <w:p w14:paraId="0842FE2A">
      <w:pPr>
        <w:spacing w:line="360" w:lineRule="auto"/>
        <w:ind w:firstLine="1302" w:firstLineChars="600"/>
        <w:rPr>
          <w:rFonts w:ascii="宋体" w:hAnsi="宋体" w:cs="宋体"/>
          <w:b/>
          <w:color w:val="auto"/>
          <w:w w:val="90"/>
          <w:sz w:val="24"/>
          <w:highlight w:val="none"/>
        </w:rPr>
      </w:pPr>
    </w:p>
    <w:p w14:paraId="323E79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日  期：    年    月    日</w:t>
      </w:r>
    </w:p>
    <w:p w14:paraId="17A65AC1">
      <w:pPr>
        <w:spacing w:line="360" w:lineRule="auto"/>
        <w:rPr>
          <w:rFonts w:ascii="宋体" w:hAnsi="宋体" w:cs="宋体"/>
          <w:color w:val="auto"/>
          <w:spacing w:val="20"/>
          <w:sz w:val="24"/>
          <w:highlight w:val="none"/>
        </w:rPr>
      </w:pPr>
    </w:p>
    <w:p w14:paraId="4653C328">
      <w:pPr>
        <w:pStyle w:val="19"/>
        <w:spacing w:line="480" w:lineRule="exact"/>
        <w:jc w:val="center"/>
        <w:rPr>
          <w:rFonts w:ascii="宋体" w:hAnsi="宋体" w:cs="宋体"/>
          <w:b/>
          <w:color w:val="auto"/>
          <w:szCs w:val="24"/>
          <w:highlight w:val="none"/>
        </w:rPr>
      </w:pPr>
    </w:p>
    <w:p w14:paraId="2C2449F3">
      <w:pPr>
        <w:pStyle w:val="19"/>
        <w:spacing w:line="480" w:lineRule="exact"/>
        <w:jc w:val="center"/>
        <w:rPr>
          <w:rFonts w:ascii="宋体" w:hAnsi="宋体" w:cs="宋体"/>
          <w:b/>
          <w:color w:val="auto"/>
          <w:szCs w:val="24"/>
          <w:highlight w:val="none"/>
        </w:rPr>
      </w:pPr>
    </w:p>
    <w:tbl>
      <w:tblPr>
        <w:tblStyle w:val="29"/>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14:paraId="6E1C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740" w:type="dxa"/>
            <w:vAlign w:val="center"/>
          </w:tcPr>
          <w:p w14:paraId="777ADBD3">
            <w:pPr>
              <w:adjustRightInd w:val="0"/>
              <w:snapToGrid w:val="0"/>
              <w:spacing w:line="460" w:lineRule="exact"/>
              <w:ind w:firstLine="420" w:firstLineChars="150"/>
              <w:jc w:val="center"/>
              <w:rPr>
                <w:rFonts w:ascii="宋体" w:hAnsi="宋体" w:cs="宋体"/>
                <w:b/>
                <w:color w:val="auto"/>
                <w:highlight w:val="none"/>
              </w:rPr>
            </w:pPr>
            <w:r>
              <w:rPr>
                <w:rFonts w:hint="eastAsia" w:ascii="宋体" w:hAnsi="宋体" w:cs="宋体"/>
                <w:color w:val="auto"/>
                <w:spacing w:val="20"/>
                <w:sz w:val="24"/>
                <w:highlight w:val="none"/>
              </w:rPr>
              <w:t>法定代表人身份证明</w:t>
            </w:r>
          </w:p>
        </w:tc>
      </w:tr>
    </w:tbl>
    <w:p w14:paraId="092DB36B">
      <w:pPr>
        <w:adjustRightInd w:val="0"/>
        <w:snapToGrid w:val="0"/>
        <w:spacing w:line="460" w:lineRule="exact"/>
        <w:ind w:firstLine="360" w:firstLineChars="150"/>
        <w:jc w:val="center"/>
        <w:rPr>
          <w:rFonts w:ascii="宋体" w:hAnsi="宋体" w:cs="宋体"/>
          <w:color w:val="auto"/>
          <w:sz w:val="24"/>
          <w:highlight w:val="none"/>
        </w:rPr>
      </w:pPr>
    </w:p>
    <w:p w14:paraId="5A8429D2">
      <w:pPr>
        <w:spacing w:line="360" w:lineRule="auto"/>
        <w:jc w:val="center"/>
        <w:outlineLvl w:val="1"/>
        <w:rPr>
          <w:rFonts w:ascii="宋体" w:hAnsi="宋体" w:cs="宋体"/>
          <w:b/>
          <w:bCs/>
          <w:color w:val="auto"/>
          <w:sz w:val="28"/>
          <w:szCs w:val="28"/>
          <w:highlight w:val="none"/>
        </w:rPr>
      </w:pPr>
      <w:r>
        <w:rPr>
          <w:rFonts w:hint="eastAsia" w:ascii="宋体" w:hAnsi="宋体" w:cs="宋体"/>
          <w:color w:val="auto"/>
          <w:spacing w:val="20"/>
          <w:sz w:val="24"/>
          <w:highlight w:val="none"/>
        </w:rPr>
        <w:br w:type="page"/>
      </w:r>
      <w:bookmarkStart w:id="176" w:name="_Toc5490"/>
      <w:bookmarkStart w:id="177" w:name="_Toc18632"/>
      <w:bookmarkStart w:id="178" w:name="_Toc17140"/>
      <w:bookmarkStart w:id="179" w:name="_Toc19467"/>
      <w:bookmarkStart w:id="180" w:name="_Toc14237"/>
      <w:bookmarkStart w:id="181" w:name="_Toc30156"/>
      <w:bookmarkStart w:id="182" w:name="_Toc18"/>
      <w:bookmarkStart w:id="183" w:name="_Toc8537"/>
      <w:bookmarkStart w:id="184" w:name="_Toc16427"/>
      <w:bookmarkStart w:id="185" w:name="_Toc21982"/>
      <w:bookmarkStart w:id="186" w:name="_Toc29992"/>
      <w:bookmarkStart w:id="187" w:name="_Toc13424"/>
      <w:r>
        <w:rPr>
          <w:rFonts w:hint="eastAsia" w:ascii="宋体" w:hAnsi="宋体" w:cs="宋体"/>
          <w:b/>
          <w:bCs/>
          <w:color w:val="auto"/>
          <w:sz w:val="28"/>
          <w:szCs w:val="28"/>
          <w:highlight w:val="none"/>
        </w:rPr>
        <w:t>三、授权委托书（如果有）</w:t>
      </w:r>
      <w:bookmarkEnd w:id="176"/>
      <w:bookmarkEnd w:id="177"/>
      <w:bookmarkEnd w:id="178"/>
      <w:bookmarkEnd w:id="179"/>
      <w:bookmarkEnd w:id="180"/>
      <w:bookmarkEnd w:id="181"/>
      <w:bookmarkEnd w:id="182"/>
      <w:bookmarkEnd w:id="183"/>
      <w:bookmarkEnd w:id="184"/>
      <w:bookmarkEnd w:id="185"/>
      <w:bookmarkEnd w:id="186"/>
      <w:bookmarkEnd w:id="187"/>
    </w:p>
    <w:p w14:paraId="09B35E2E">
      <w:pPr>
        <w:pStyle w:val="46"/>
        <w:spacing w:before="0" w:after="0" w:line="420" w:lineRule="exact"/>
        <w:ind w:firstLineChars="200"/>
        <w:rPr>
          <w:rFonts w:ascii="宋体" w:hAnsi="宋体" w:cs="宋体"/>
          <w:color w:val="auto"/>
          <w:kern w:val="2"/>
          <w:highlight w:val="none"/>
        </w:rPr>
      </w:pPr>
    </w:p>
    <w:p w14:paraId="70D144B7">
      <w:pPr>
        <w:pStyle w:val="46"/>
        <w:spacing w:before="0" w:after="0" w:line="420" w:lineRule="exact"/>
        <w:ind w:firstLineChars="200"/>
        <w:rPr>
          <w:rFonts w:ascii="宋体" w:hAnsi="宋体" w:cs="宋体"/>
          <w:color w:val="auto"/>
          <w:kern w:val="2"/>
          <w:highlight w:val="none"/>
        </w:rPr>
      </w:pPr>
      <w:r>
        <w:rPr>
          <w:rFonts w:hint="eastAsia" w:ascii="宋体" w:hAnsi="宋体" w:cs="宋体"/>
          <w:color w:val="auto"/>
          <w:kern w:val="2"/>
          <w:highlight w:val="none"/>
        </w:rPr>
        <w:t>本授权书声明：</w:t>
      </w:r>
      <w:r>
        <w:rPr>
          <w:rFonts w:hint="eastAsia" w:ascii="宋体" w:hAnsi="宋体" w:cs="宋体"/>
          <w:color w:val="auto"/>
          <w:kern w:val="2"/>
          <w:highlight w:val="none"/>
          <w:u w:val="single"/>
        </w:rPr>
        <w:t xml:space="preserve">  （投标人名称）       </w:t>
      </w:r>
      <w:r>
        <w:rPr>
          <w:rFonts w:hint="eastAsia" w:ascii="宋体" w:hAnsi="宋体" w:cs="宋体"/>
          <w:color w:val="auto"/>
          <w:kern w:val="2"/>
          <w:highlight w:val="none"/>
        </w:rPr>
        <w:t>的</w:t>
      </w:r>
      <w:r>
        <w:rPr>
          <w:rFonts w:hint="eastAsia" w:ascii="宋体" w:hAnsi="宋体" w:cs="宋体"/>
          <w:color w:val="auto"/>
          <w:kern w:val="2"/>
          <w:highlight w:val="none"/>
          <w:u w:val="single"/>
        </w:rPr>
        <w:t xml:space="preserve">  （法定代表人（负责人）姓名）         </w:t>
      </w:r>
      <w:r>
        <w:rPr>
          <w:rFonts w:hint="eastAsia" w:ascii="宋体" w:hAnsi="宋体" w:cs="宋体"/>
          <w:color w:val="auto"/>
          <w:kern w:val="2"/>
          <w:highlight w:val="none"/>
        </w:rPr>
        <w:t>授权</w:t>
      </w:r>
      <w:r>
        <w:rPr>
          <w:rFonts w:hint="eastAsia" w:ascii="宋体" w:hAnsi="宋体" w:cs="宋体"/>
          <w:color w:val="auto"/>
          <w:kern w:val="2"/>
          <w:highlight w:val="none"/>
          <w:u w:val="single"/>
        </w:rPr>
        <w:t xml:space="preserve">（被授权人的单位、姓名、职务）          </w:t>
      </w:r>
      <w:r>
        <w:rPr>
          <w:rFonts w:hint="eastAsia" w:ascii="宋体" w:hAnsi="宋体" w:cs="宋体"/>
          <w:color w:val="auto"/>
          <w:kern w:val="2"/>
          <w:highlight w:val="none"/>
        </w:rPr>
        <w:t>为我方参加</w:t>
      </w:r>
      <w:r>
        <w:rPr>
          <w:rFonts w:hint="eastAsia" w:ascii="宋体" w:hAnsi="宋体" w:cs="宋体"/>
          <w:color w:val="auto"/>
          <w:kern w:val="2"/>
          <w:highlight w:val="none"/>
          <w:u w:val="single"/>
        </w:rPr>
        <w:t xml:space="preserve"> （项目编号）         </w:t>
      </w:r>
      <w:r>
        <w:rPr>
          <w:rFonts w:hint="eastAsia" w:ascii="宋体" w:hAnsi="宋体" w:cs="宋体"/>
          <w:color w:val="auto"/>
          <w:kern w:val="2"/>
          <w:highlight w:val="none"/>
        </w:rPr>
        <w:t>的</w:t>
      </w:r>
      <w:r>
        <w:rPr>
          <w:rFonts w:hint="eastAsia" w:ascii="宋体" w:hAnsi="宋体" w:cs="宋体"/>
          <w:color w:val="auto"/>
          <w:spacing w:val="15"/>
          <w:highlight w:val="none"/>
          <w:u w:val="single"/>
        </w:rPr>
        <w:t xml:space="preserve">         （项目名称） </w:t>
      </w:r>
      <w:r>
        <w:rPr>
          <w:rFonts w:hint="eastAsia" w:ascii="宋体" w:hAnsi="宋体" w:cs="宋体"/>
          <w:color w:val="auto"/>
          <w:kern w:val="2"/>
          <w:highlight w:val="none"/>
        </w:rPr>
        <w:t>活动的合法代表，以本单位名义全权处理投标文件递交、澄清、质疑、投诉、签订项目合同等一切与该项目投标有关的事务，未经采购人同意，不得更换被授权委托人。</w:t>
      </w:r>
    </w:p>
    <w:p w14:paraId="17225235">
      <w:pPr>
        <w:pStyle w:val="46"/>
        <w:spacing w:before="0" w:after="0" w:line="420" w:lineRule="exact"/>
        <w:ind w:firstLineChars="200"/>
        <w:rPr>
          <w:rFonts w:ascii="宋体" w:hAnsi="宋体" w:cs="宋体"/>
          <w:color w:val="auto"/>
          <w:kern w:val="2"/>
          <w:highlight w:val="none"/>
        </w:rPr>
      </w:pPr>
    </w:p>
    <w:p w14:paraId="21DA4E57">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被授权代表联系电话：</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6F2EFAD">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授权有效期：</w:t>
      </w:r>
      <w:r>
        <w:rPr>
          <w:rFonts w:hint="eastAsia" w:ascii="宋体" w:hAnsi="宋体" w:cs="宋体"/>
          <w:color w:val="auto"/>
          <w:sz w:val="24"/>
          <w:highlight w:val="none"/>
          <w:u w:val="single"/>
        </w:rPr>
        <w:t xml:space="preserve">     年   月   日至     年   月   日止（不少于投标有效期）</w:t>
      </w:r>
    </w:p>
    <w:p w14:paraId="668AED47">
      <w:pPr>
        <w:adjustRightInd w:val="0"/>
        <w:snapToGrid w:val="0"/>
        <w:spacing w:line="460" w:lineRule="exact"/>
        <w:ind w:firstLine="480" w:firstLineChars="200"/>
        <w:rPr>
          <w:rFonts w:ascii="宋体" w:hAnsi="宋体" w:cs="宋体"/>
          <w:color w:val="auto"/>
          <w:sz w:val="24"/>
          <w:highlight w:val="none"/>
        </w:rPr>
      </w:pPr>
    </w:p>
    <w:p w14:paraId="3B67F25A">
      <w:pPr>
        <w:adjustRightInd w:val="0"/>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法定代表人（签字或盖章）：</w:t>
      </w:r>
    </w:p>
    <w:p w14:paraId="2642D7C7">
      <w:pPr>
        <w:adjustRightInd w:val="0"/>
        <w:snapToGrid w:val="0"/>
        <w:spacing w:line="460" w:lineRule="exact"/>
        <w:ind w:firstLine="480" w:firstLineChars="200"/>
        <w:rPr>
          <w:rFonts w:ascii="宋体" w:hAnsi="宋体" w:cs="宋体"/>
          <w:color w:val="auto"/>
          <w:sz w:val="24"/>
          <w:highlight w:val="none"/>
        </w:rPr>
      </w:pPr>
    </w:p>
    <w:p w14:paraId="4EFBC156">
      <w:pPr>
        <w:adjustRightInd w:val="0"/>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被授权代表(签字或盖章)：</w:t>
      </w:r>
    </w:p>
    <w:p w14:paraId="4EB38091">
      <w:pPr>
        <w:spacing w:line="460" w:lineRule="exact"/>
        <w:rPr>
          <w:rFonts w:ascii="宋体" w:hAnsi="宋体" w:cs="宋体"/>
          <w:color w:val="auto"/>
          <w:kern w:val="0"/>
          <w:sz w:val="24"/>
          <w:highlight w:val="none"/>
        </w:rPr>
      </w:pPr>
    </w:p>
    <w:p w14:paraId="386EEB0C">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投标单位（盖章）：</w:t>
      </w:r>
    </w:p>
    <w:p w14:paraId="31669D64">
      <w:pPr>
        <w:spacing w:line="460" w:lineRule="exact"/>
        <w:ind w:firstLine="1302" w:firstLineChars="600"/>
        <w:rPr>
          <w:rFonts w:ascii="宋体" w:hAnsi="宋体" w:cs="宋体"/>
          <w:b/>
          <w:color w:val="auto"/>
          <w:w w:val="90"/>
          <w:sz w:val="24"/>
          <w:highlight w:val="none"/>
        </w:rPr>
      </w:pPr>
    </w:p>
    <w:p w14:paraId="1EBEF807">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     年   月   日</w:t>
      </w:r>
    </w:p>
    <w:p w14:paraId="21BE809C">
      <w:pPr>
        <w:adjustRightInd w:val="0"/>
        <w:snapToGrid w:val="0"/>
        <w:spacing w:line="460" w:lineRule="exact"/>
        <w:ind w:firstLine="480" w:firstLineChars="200"/>
        <w:rPr>
          <w:rFonts w:ascii="宋体" w:hAnsi="宋体" w:cs="宋体"/>
          <w:color w:val="auto"/>
          <w:sz w:val="24"/>
          <w:highlight w:val="none"/>
        </w:rPr>
      </w:pPr>
    </w:p>
    <w:tbl>
      <w:tblPr>
        <w:tblStyle w:val="29"/>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14:paraId="5569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7" w:hRule="atLeast"/>
          <w:jc w:val="center"/>
        </w:trPr>
        <w:tc>
          <w:tcPr>
            <w:tcW w:w="7740" w:type="dxa"/>
            <w:vAlign w:val="center"/>
          </w:tcPr>
          <w:p w14:paraId="360D3AEB">
            <w:pPr>
              <w:adjustRightInd w:val="0"/>
              <w:snapToGrid w:val="0"/>
              <w:spacing w:line="460" w:lineRule="exact"/>
              <w:ind w:firstLine="360" w:firstLineChars="150"/>
              <w:jc w:val="center"/>
              <w:rPr>
                <w:rFonts w:ascii="宋体" w:hAnsi="宋体" w:cs="宋体"/>
                <w:b/>
                <w:color w:val="auto"/>
                <w:highlight w:val="none"/>
              </w:rPr>
            </w:pPr>
            <w:r>
              <w:rPr>
                <w:rFonts w:hint="eastAsia" w:ascii="宋体" w:hAnsi="宋体" w:cs="宋体"/>
                <w:color w:val="auto"/>
                <w:sz w:val="24"/>
                <w:highlight w:val="none"/>
              </w:rPr>
              <w:t>被授权代表身份证明</w:t>
            </w:r>
          </w:p>
        </w:tc>
      </w:tr>
    </w:tbl>
    <w:p w14:paraId="0BB4C2DA">
      <w:pPr>
        <w:pStyle w:val="20"/>
        <w:rPr>
          <w:rFonts w:ascii="宋体" w:hAnsi="宋体" w:cs="宋体"/>
          <w:bCs/>
          <w:color w:val="auto"/>
          <w:sz w:val="24"/>
          <w:highlight w:val="none"/>
        </w:rPr>
      </w:pPr>
    </w:p>
    <w:p w14:paraId="1C64431B">
      <w:pPr>
        <w:ind w:firstLine="480" w:firstLineChars="200"/>
        <w:rPr>
          <w:rFonts w:ascii="宋体" w:hAnsi="宋体" w:cs="宋体"/>
          <w:color w:val="auto"/>
          <w:sz w:val="24"/>
          <w:highlight w:val="none"/>
        </w:rPr>
      </w:pPr>
    </w:p>
    <w:p w14:paraId="03287486">
      <w:pPr>
        <w:widowControl/>
        <w:jc w:val="left"/>
        <w:rPr>
          <w:rFonts w:ascii="宋体" w:hAnsi="宋体" w:cs="宋体"/>
          <w:b/>
          <w:bCs/>
          <w:color w:val="auto"/>
          <w:sz w:val="24"/>
          <w:highlight w:val="none"/>
        </w:rPr>
      </w:pPr>
      <w:r>
        <w:rPr>
          <w:rFonts w:hint="eastAsia" w:ascii="宋体" w:hAnsi="宋体" w:cs="宋体"/>
          <w:color w:val="auto"/>
          <w:sz w:val="24"/>
          <w:highlight w:val="none"/>
        </w:rPr>
        <w:br w:type="page"/>
      </w:r>
    </w:p>
    <w:p w14:paraId="11A0A188">
      <w:pPr>
        <w:spacing w:line="360" w:lineRule="auto"/>
        <w:jc w:val="center"/>
        <w:outlineLvl w:val="1"/>
        <w:rPr>
          <w:rFonts w:ascii="宋体" w:hAnsi="宋体" w:cs="宋体"/>
          <w:b/>
          <w:bCs/>
          <w:color w:val="auto"/>
          <w:sz w:val="28"/>
          <w:szCs w:val="28"/>
          <w:highlight w:val="none"/>
        </w:rPr>
      </w:pPr>
      <w:bookmarkStart w:id="188" w:name="_Toc3161"/>
      <w:bookmarkStart w:id="189" w:name="_Toc13929"/>
      <w:bookmarkStart w:id="190" w:name="_Toc5245"/>
      <w:bookmarkStart w:id="191" w:name="_Toc22870"/>
      <w:bookmarkStart w:id="192" w:name="_Toc9193"/>
      <w:bookmarkStart w:id="193" w:name="_Toc12574"/>
      <w:r>
        <w:rPr>
          <w:rFonts w:hint="eastAsia" w:ascii="宋体" w:hAnsi="宋体" w:cs="宋体"/>
          <w:b/>
          <w:bCs/>
          <w:color w:val="auto"/>
          <w:sz w:val="28"/>
          <w:szCs w:val="28"/>
          <w:highlight w:val="none"/>
        </w:rPr>
        <w:t>四、开标一览表</w:t>
      </w:r>
      <w:bookmarkEnd w:id="188"/>
      <w:bookmarkEnd w:id="189"/>
      <w:bookmarkEnd w:id="190"/>
      <w:bookmarkEnd w:id="191"/>
      <w:bookmarkEnd w:id="192"/>
      <w:bookmarkEnd w:id="193"/>
    </w:p>
    <w:tbl>
      <w:tblPr>
        <w:tblStyle w:val="2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268"/>
      </w:tblGrid>
      <w:tr w14:paraId="4BFA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0" w:type="dxa"/>
            <w:vAlign w:val="center"/>
          </w:tcPr>
          <w:p w14:paraId="52CD9D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7268" w:type="dxa"/>
            <w:vAlign w:val="center"/>
          </w:tcPr>
          <w:p w14:paraId="5506647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lang w:eastAsia="zh-CN"/>
              </w:rPr>
              <w:t>响水县灌江水务有限责任公司羽清污水厂污泥处置单位采购项目(二次）</w:t>
            </w:r>
            <w:r>
              <w:rPr>
                <w:rFonts w:hint="eastAsia" w:ascii="宋体" w:hAnsi="宋体" w:cs="宋体"/>
                <w:bCs/>
                <w:color w:val="auto"/>
                <w:sz w:val="24"/>
                <w:highlight w:val="none"/>
              </w:rPr>
              <w:t xml:space="preserve"> </w:t>
            </w:r>
          </w:p>
        </w:tc>
      </w:tr>
      <w:tr w14:paraId="3B4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0" w:type="dxa"/>
            <w:vAlign w:val="center"/>
          </w:tcPr>
          <w:p w14:paraId="50C877F2">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项目编号</w:t>
            </w:r>
          </w:p>
        </w:tc>
        <w:tc>
          <w:tcPr>
            <w:tcW w:w="7268" w:type="dxa"/>
            <w:vAlign w:val="center"/>
          </w:tcPr>
          <w:p w14:paraId="52C3BA8B">
            <w:pPr>
              <w:tabs>
                <w:tab w:val="center" w:pos="4621"/>
              </w:tabs>
              <w:jc w:val="center"/>
              <w:rPr>
                <w:rFonts w:ascii="宋体" w:hAnsi="宋体" w:cs="宋体"/>
                <w:bCs/>
                <w:color w:val="auto"/>
                <w:sz w:val="24"/>
                <w:highlight w:val="none"/>
              </w:rPr>
            </w:pPr>
            <w:r>
              <w:rPr>
                <w:rFonts w:hint="eastAsia" w:ascii="宋体" w:hAnsi="宋体" w:eastAsia="宋体" w:cs="宋体"/>
                <w:bCs/>
                <w:color w:val="auto"/>
                <w:kern w:val="0"/>
                <w:sz w:val="24"/>
                <w:szCs w:val="24"/>
                <w:highlight w:val="none"/>
                <w:lang w:val="en-US" w:eastAsia="zh-CN"/>
              </w:rPr>
              <w:t>XSX-GQCG-20260</w:t>
            </w:r>
            <w:r>
              <w:rPr>
                <w:rFonts w:hint="eastAsia" w:ascii="宋体" w:hAnsi="宋体" w:cs="宋体"/>
                <w:bCs/>
                <w:color w:val="auto"/>
                <w:kern w:val="0"/>
                <w:sz w:val="24"/>
                <w:szCs w:val="24"/>
                <w:highlight w:val="none"/>
                <w:lang w:val="en-US" w:eastAsia="zh-CN"/>
              </w:rPr>
              <w:t>4016</w:t>
            </w:r>
            <w:r>
              <w:rPr>
                <w:rFonts w:hint="eastAsia" w:ascii="宋体" w:hAnsi="宋体" w:eastAsia="宋体" w:cs="宋体"/>
                <w:bCs/>
                <w:color w:val="auto"/>
                <w:kern w:val="0"/>
                <w:sz w:val="24"/>
                <w:szCs w:val="24"/>
                <w:highlight w:val="none"/>
              </w:rPr>
              <w:t xml:space="preserve"> </w:t>
            </w:r>
          </w:p>
        </w:tc>
      </w:tr>
      <w:tr w14:paraId="7E7C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0" w:type="dxa"/>
            <w:vAlign w:val="center"/>
          </w:tcPr>
          <w:p w14:paraId="52EC609F">
            <w:pPr>
              <w:snapToGrid w:val="0"/>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投标</w:t>
            </w:r>
            <w:r>
              <w:rPr>
                <w:rFonts w:hint="eastAsia" w:ascii="宋体" w:hAnsi="宋体" w:cs="宋体"/>
                <w:bCs/>
                <w:color w:val="auto"/>
                <w:sz w:val="24"/>
                <w:highlight w:val="none"/>
                <w:lang w:eastAsia="zh-CN"/>
              </w:rPr>
              <w:t>全费用单价</w:t>
            </w:r>
            <w:r>
              <w:rPr>
                <w:rFonts w:hint="eastAsia" w:ascii="宋体" w:hAnsi="宋体" w:cs="宋体"/>
                <w:bCs/>
                <w:color w:val="auto"/>
                <w:sz w:val="24"/>
                <w:highlight w:val="none"/>
              </w:rPr>
              <w:t>报价</w:t>
            </w:r>
          </w:p>
        </w:tc>
        <w:tc>
          <w:tcPr>
            <w:tcW w:w="7268" w:type="dxa"/>
            <w:vAlign w:val="center"/>
          </w:tcPr>
          <w:p w14:paraId="73AD223B">
            <w:pPr>
              <w:spacing w:line="360" w:lineRule="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人民币（大写）：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每吨</w:t>
            </w:r>
            <w:r>
              <w:rPr>
                <w:rFonts w:hint="eastAsia" w:ascii="宋体" w:hAnsi="宋体" w:cs="宋体"/>
                <w:bCs/>
                <w:color w:val="auto"/>
                <w:sz w:val="24"/>
                <w:highlight w:val="none"/>
                <w:lang w:val="en-US" w:eastAsia="zh-CN"/>
              </w:rPr>
              <w:t>（含税运)</w:t>
            </w:r>
          </w:p>
          <w:p w14:paraId="4F5CD65B">
            <w:pPr>
              <w:spacing w:line="360" w:lineRule="auto"/>
              <w:ind w:firstLine="720" w:firstLineChars="300"/>
              <w:rPr>
                <w:rFonts w:ascii="宋体" w:hAnsi="宋体" w:cs="宋体"/>
                <w:color w:val="auto"/>
                <w:highlight w:val="none"/>
              </w:rPr>
            </w:pP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元/吨</w:t>
            </w:r>
          </w:p>
        </w:tc>
      </w:tr>
      <w:tr w14:paraId="265A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0" w:type="dxa"/>
            <w:vAlign w:val="center"/>
          </w:tcPr>
          <w:p w14:paraId="7A86B479">
            <w:pPr>
              <w:snapToGrid w:val="0"/>
              <w:spacing w:line="44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投标报价</w:t>
            </w:r>
          </w:p>
          <w:p w14:paraId="3FC188F1">
            <w:pPr>
              <w:snapToGrid w:val="0"/>
              <w:spacing w:line="440" w:lineRule="exact"/>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（全费用合价）</w:t>
            </w:r>
          </w:p>
        </w:tc>
        <w:tc>
          <w:tcPr>
            <w:tcW w:w="7268" w:type="dxa"/>
            <w:vAlign w:val="center"/>
          </w:tcPr>
          <w:p w14:paraId="11C5BE7D">
            <w:pPr>
              <w:spacing w:line="360" w:lineRule="auto"/>
              <w:rPr>
                <w:rFonts w:ascii="宋体" w:hAnsi="宋体" w:cs="宋体"/>
                <w:bCs/>
                <w:color w:val="auto"/>
                <w:sz w:val="24"/>
                <w:highlight w:val="none"/>
              </w:rPr>
            </w:pPr>
            <w:r>
              <w:rPr>
                <w:rFonts w:hint="eastAsia" w:ascii="宋体" w:hAnsi="宋体" w:cs="宋体"/>
                <w:bCs/>
                <w:color w:val="auto"/>
                <w:sz w:val="24"/>
                <w:highlight w:val="none"/>
              </w:rPr>
              <w:t>人民币（大写）：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r>
              <w:rPr>
                <w:rFonts w:hint="eastAsia" w:ascii="宋体" w:hAnsi="宋体" w:cs="宋体"/>
                <w:bCs/>
                <w:color w:val="auto"/>
                <w:sz w:val="24"/>
                <w:highlight w:val="none"/>
                <w:lang w:val="en-US" w:eastAsia="zh-CN"/>
              </w:rPr>
              <w:t>（含税运)</w:t>
            </w:r>
          </w:p>
          <w:p w14:paraId="436D92C2">
            <w:pPr>
              <w:spacing w:line="360" w:lineRule="auto"/>
              <w:ind w:firstLine="720" w:firstLineChars="300"/>
              <w:rPr>
                <w:rFonts w:hint="eastAsia" w:ascii="宋体" w:hAnsi="宋体" w:cs="宋体"/>
                <w:bCs/>
                <w:color w:val="auto"/>
                <w:sz w:val="24"/>
                <w:highlight w:val="none"/>
              </w:rPr>
            </w:pP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元</w:t>
            </w:r>
          </w:p>
        </w:tc>
      </w:tr>
      <w:tr w14:paraId="1FF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0" w:type="dxa"/>
            <w:vAlign w:val="center"/>
          </w:tcPr>
          <w:p w14:paraId="3A60B7AB">
            <w:pPr>
              <w:snapToGrid w:val="0"/>
              <w:spacing w:line="440" w:lineRule="exact"/>
              <w:jc w:val="both"/>
              <w:rPr>
                <w:rFonts w:ascii="宋体" w:hAnsi="宋体" w:cs="宋体"/>
                <w:bCs/>
                <w:color w:val="auto"/>
                <w:sz w:val="24"/>
                <w:highlight w:val="none"/>
              </w:rPr>
            </w:pPr>
            <w:r>
              <w:rPr>
                <w:rFonts w:hint="eastAsia" w:ascii="宋体" w:hAnsi="宋体" w:cs="宋体"/>
                <w:color w:val="auto"/>
                <w:sz w:val="24"/>
                <w:highlight w:val="none"/>
              </w:rPr>
              <w:t>合同履行期限</w:t>
            </w:r>
          </w:p>
        </w:tc>
        <w:tc>
          <w:tcPr>
            <w:tcW w:w="7268" w:type="dxa"/>
            <w:vAlign w:val="center"/>
          </w:tcPr>
          <w:p w14:paraId="696A862A">
            <w:pPr>
              <w:widowControl/>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szCs w:val="24"/>
                <w:highlight w:val="none"/>
                <w:lang w:eastAsia="zh-CN"/>
              </w:rPr>
              <w:t>以合同签订时间起一年（按照采购人要求在规定时间内进场服务）。</w:t>
            </w:r>
          </w:p>
        </w:tc>
      </w:tr>
      <w:tr w14:paraId="253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970" w:type="dxa"/>
            <w:vAlign w:val="center"/>
          </w:tcPr>
          <w:p w14:paraId="18CF3819">
            <w:pPr>
              <w:snapToGrid w:val="0"/>
              <w:spacing w:line="440" w:lineRule="exact"/>
              <w:jc w:val="center"/>
              <w:rPr>
                <w:rFonts w:ascii="宋体" w:hAnsi="宋体" w:cs="宋体"/>
                <w:bCs/>
                <w:color w:val="auto"/>
                <w:sz w:val="24"/>
                <w:szCs w:val="24"/>
                <w:highlight w:val="none"/>
              </w:rPr>
            </w:pPr>
            <w:r>
              <w:rPr>
                <w:rFonts w:hint="eastAsia" w:ascii="宋体" w:hAnsi="宋体" w:cs="宋体"/>
                <w:color w:val="auto"/>
                <w:sz w:val="24"/>
                <w:szCs w:val="24"/>
                <w:highlight w:val="none"/>
                <w:lang w:eastAsia="zh-CN"/>
              </w:rPr>
              <w:t>处置要求</w:t>
            </w:r>
          </w:p>
        </w:tc>
        <w:tc>
          <w:tcPr>
            <w:tcW w:w="7268" w:type="dxa"/>
            <w:vAlign w:val="center"/>
          </w:tcPr>
          <w:p w14:paraId="740C1B19">
            <w:pPr>
              <w:pStyle w:val="28"/>
              <w:ind w:left="0" w:leftChars="0" w:firstLine="0" w:firstLineChars="0"/>
              <w:rPr>
                <w:rFonts w:ascii="宋体" w:hAnsi="宋体" w:cs="宋体"/>
                <w:bCs/>
                <w:color w:val="auto"/>
                <w:sz w:val="24"/>
                <w:szCs w:val="24"/>
                <w:highlight w:val="none"/>
              </w:rPr>
            </w:pPr>
            <w:r>
              <w:rPr>
                <w:rFonts w:hint="eastAsia" w:ascii="宋体" w:hAnsi="宋体" w:cs="宋体"/>
                <w:color w:val="auto"/>
                <w:sz w:val="24"/>
                <w:szCs w:val="24"/>
                <w:highlight w:val="none"/>
                <w:lang w:eastAsia="zh-CN"/>
              </w:rPr>
              <w:t>符合国家现行有关相关法律、法规规定和招标文件的具体要求。</w:t>
            </w:r>
          </w:p>
        </w:tc>
      </w:tr>
      <w:tr w14:paraId="571F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970" w:type="dxa"/>
            <w:vAlign w:val="center"/>
          </w:tcPr>
          <w:p w14:paraId="54E34E63">
            <w:pPr>
              <w:snapToGrid w:val="0"/>
              <w:spacing w:line="440" w:lineRule="exact"/>
              <w:jc w:val="center"/>
              <w:rPr>
                <w:rFonts w:hint="eastAsia" w:ascii="宋体" w:hAnsi="宋体" w:cs="宋体"/>
                <w:color w:val="auto"/>
                <w:sz w:val="24"/>
                <w:szCs w:val="24"/>
                <w:highlight w:val="none"/>
                <w:lang w:eastAsia="zh-CN"/>
              </w:rPr>
            </w:pPr>
            <w:r>
              <w:rPr>
                <w:rFonts w:hint="eastAsia" w:ascii="宋体" w:hAnsi="宋体" w:cs="宋体"/>
                <w:bCs/>
                <w:color w:val="auto"/>
                <w:sz w:val="24"/>
                <w:szCs w:val="24"/>
                <w:highlight w:val="none"/>
                <w:lang w:val="en-US" w:eastAsia="zh-CN"/>
              </w:rPr>
              <w:t>处置方式</w:t>
            </w:r>
          </w:p>
        </w:tc>
        <w:tc>
          <w:tcPr>
            <w:tcW w:w="7268" w:type="dxa"/>
            <w:vAlign w:val="center"/>
          </w:tcPr>
          <w:p w14:paraId="44DE4465">
            <w:pPr>
              <w:pStyle w:val="28"/>
              <w:ind w:left="0" w:leftChars="0" w:firstLine="0" w:firstLineChars="0"/>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无害化焚烧及安全填埋</w:t>
            </w:r>
          </w:p>
        </w:tc>
      </w:tr>
    </w:tbl>
    <w:p w14:paraId="383BC47F">
      <w:pPr>
        <w:pStyle w:val="27"/>
        <w:rPr>
          <w:rFonts w:hint="eastAsia"/>
          <w:color w:val="auto"/>
          <w:highlight w:val="none"/>
          <w:lang w:val="en-US" w:eastAsia="zh-CN"/>
        </w:rPr>
      </w:pPr>
    </w:p>
    <w:p w14:paraId="11FC1536">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投标人（盖章）：</w:t>
      </w:r>
      <w:r>
        <w:rPr>
          <w:rFonts w:hint="eastAsia" w:ascii="宋体" w:hAnsi="宋体" w:cs="宋体"/>
          <w:color w:val="auto"/>
          <w:highlight w:val="none"/>
          <w:u w:val="single"/>
        </w:rPr>
        <w:t xml:space="preserve">               </w:t>
      </w:r>
    </w:p>
    <w:p w14:paraId="551CA8AE">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p>
    <w:p w14:paraId="7578D43B">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法定代表人或其授权代表（签字或盖章）：</w:t>
      </w:r>
      <w:r>
        <w:rPr>
          <w:rFonts w:hint="eastAsia" w:ascii="宋体" w:hAnsi="宋体" w:cs="宋体"/>
          <w:color w:val="auto"/>
          <w:highlight w:val="none"/>
          <w:u w:val="single"/>
        </w:rPr>
        <w:t xml:space="preserve">          </w:t>
      </w:r>
    </w:p>
    <w:p w14:paraId="07FAB4D9">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p>
    <w:p w14:paraId="07AB7391">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时间：        年    月    日</w:t>
      </w:r>
    </w:p>
    <w:p w14:paraId="571E9FFC">
      <w:pPr>
        <w:widowControl/>
        <w:tabs>
          <w:tab w:val="left" w:pos="900"/>
        </w:tabs>
        <w:spacing w:line="440" w:lineRule="exact"/>
        <w:ind w:firstLine="1687" w:firstLineChars="700"/>
        <w:rPr>
          <w:rFonts w:ascii="宋体" w:hAnsi="宋体" w:cs="宋体"/>
          <w:b/>
          <w:color w:val="auto"/>
          <w:sz w:val="24"/>
          <w:highlight w:val="none"/>
        </w:rPr>
      </w:pPr>
    </w:p>
    <w:p w14:paraId="1342EF4D">
      <w:pPr>
        <w:widowControl/>
        <w:numPr>
          <w:ilvl w:val="0"/>
          <w:numId w:val="3"/>
        </w:numPr>
        <w:spacing w:line="420" w:lineRule="exact"/>
        <w:jc w:val="center"/>
        <w:outlineLvl w:val="1"/>
        <w:rPr>
          <w:rFonts w:ascii="宋体" w:hAnsi="宋体" w:cs="宋体"/>
          <w:b/>
          <w:color w:val="auto"/>
          <w:sz w:val="28"/>
          <w:szCs w:val="28"/>
          <w:highlight w:val="none"/>
        </w:rPr>
      </w:pPr>
      <w:r>
        <w:rPr>
          <w:rFonts w:hint="eastAsia" w:ascii="宋体" w:hAnsi="宋体" w:cs="宋体"/>
          <w:b/>
          <w:color w:val="auto"/>
          <w:sz w:val="24"/>
          <w:highlight w:val="none"/>
        </w:rPr>
        <w:br w:type="page"/>
      </w:r>
      <w:bookmarkStart w:id="194" w:name="_Toc18801"/>
      <w:r>
        <w:rPr>
          <w:rFonts w:hint="eastAsia" w:ascii="宋体" w:hAnsi="宋体" w:cs="宋体"/>
          <w:b/>
          <w:color w:val="auto"/>
          <w:sz w:val="28"/>
          <w:szCs w:val="28"/>
          <w:highlight w:val="none"/>
        </w:rPr>
        <w:t>投标分项明细报价表</w:t>
      </w:r>
      <w:bookmarkEnd w:id="194"/>
    </w:p>
    <w:p w14:paraId="4A8DE5D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项目名称： </w:t>
      </w:r>
      <w:r>
        <w:rPr>
          <w:rFonts w:hint="eastAsia" w:ascii="宋体" w:hAnsi="宋体" w:cs="宋体"/>
          <w:bCs/>
          <w:color w:val="auto"/>
          <w:sz w:val="24"/>
          <w:highlight w:val="none"/>
          <w:lang w:eastAsia="zh-CN"/>
        </w:rPr>
        <w:t>响水县灌江水务有限责任公司羽清污水厂污泥处置单位采购项目(二次）</w:t>
      </w:r>
    </w:p>
    <w:p w14:paraId="09548EA1">
      <w:pPr>
        <w:widowControl/>
        <w:jc w:val="left"/>
        <w:textAlignment w:val="center"/>
        <w:rPr>
          <w:color w:val="auto"/>
          <w:highlight w:val="none"/>
        </w:rPr>
      </w:pPr>
      <w:r>
        <w:rPr>
          <w:rFonts w:hint="eastAsia" w:ascii="宋体" w:hAnsi="宋体" w:cs="宋体"/>
          <w:color w:val="auto"/>
          <w:kern w:val="0"/>
          <w:sz w:val="24"/>
          <w:highlight w:val="none"/>
        </w:rPr>
        <w:t xml:space="preserve">项目编号： </w:t>
      </w:r>
      <w:r>
        <w:rPr>
          <w:rFonts w:hint="eastAsia" w:ascii="宋体" w:hAnsi="宋体" w:eastAsia="宋体" w:cs="宋体"/>
          <w:bCs/>
          <w:color w:val="auto"/>
          <w:kern w:val="0"/>
          <w:sz w:val="24"/>
          <w:szCs w:val="24"/>
          <w:highlight w:val="none"/>
          <w:lang w:val="en-US" w:eastAsia="zh-CN"/>
        </w:rPr>
        <w:t>XSX-GQCG-20260</w:t>
      </w:r>
      <w:r>
        <w:rPr>
          <w:rFonts w:hint="eastAsia" w:ascii="宋体" w:hAnsi="宋体" w:cs="宋体"/>
          <w:bCs/>
          <w:color w:val="auto"/>
          <w:kern w:val="0"/>
          <w:sz w:val="24"/>
          <w:szCs w:val="24"/>
          <w:highlight w:val="none"/>
          <w:lang w:val="en-US" w:eastAsia="zh-CN"/>
        </w:rPr>
        <w:t>4016</w:t>
      </w:r>
      <w:r>
        <w:rPr>
          <w:rFonts w:hint="eastAsia" w:ascii="宋体" w:hAnsi="宋体" w:eastAsia="宋体" w:cs="宋体"/>
          <w:bCs/>
          <w:color w:val="auto"/>
          <w:kern w:val="0"/>
          <w:sz w:val="24"/>
          <w:szCs w:val="24"/>
          <w:highlight w:val="none"/>
        </w:rPr>
        <w:t xml:space="preserve"> </w:t>
      </w:r>
    </w:p>
    <w:tbl>
      <w:tblPr>
        <w:tblStyle w:val="29"/>
        <w:tblW w:w="9051"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1157"/>
        <w:gridCol w:w="3175"/>
        <w:gridCol w:w="1312"/>
        <w:gridCol w:w="913"/>
        <w:gridCol w:w="1076"/>
        <w:gridCol w:w="837"/>
      </w:tblGrid>
      <w:tr w14:paraId="69CD5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81" w:type="dxa"/>
            <w:vAlign w:val="center"/>
          </w:tcPr>
          <w:p w14:paraId="685A2789">
            <w:pPr>
              <w:widowControl/>
              <w:jc w:val="center"/>
              <w:textAlignment w:val="center"/>
              <w:rPr>
                <w:rFonts w:ascii="宋体" w:hAnsi="宋体" w:cs="宋体"/>
                <w:color w:val="auto"/>
                <w:sz w:val="24"/>
                <w:szCs w:val="24"/>
                <w:highlight w:val="none"/>
              </w:rPr>
            </w:pPr>
            <w:bookmarkStart w:id="195" w:name="_Toc2048"/>
            <w:bookmarkStart w:id="196" w:name="_Toc29953"/>
            <w:bookmarkStart w:id="197" w:name="_Toc32317"/>
            <w:bookmarkStart w:id="198" w:name="_Toc14015"/>
            <w:r>
              <w:rPr>
                <w:rFonts w:hint="eastAsia" w:ascii="宋体" w:hAnsi="宋体" w:cs="宋体"/>
                <w:color w:val="auto"/>
                <w:kern w:val="0"/>
                <w:sz w:val="24"/>
                <w:szCs w:val="24"/>
                <w:highlight w:val="none"/>
              </w:rPr>
              <w:t>序号</w:t>
            </w:r>
          </w:p>
        </w:tc>
        <w:tc>
          <w:tcPr>
            <w:tcW w:w="1157" w:type="dxa"/>
            <w:vAlign w:val="center"/>
          </w:tcPr>
          <w:p w14:paraId="445719A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名称</w:t>
            </w:r>
          </w:p>
        </w:tc>
        <w:tc>
          <w:tcPr>
            <w:tcW w:w="3175" w:type="dxa"/>
            <w:vAlign w:val="center"/>
          </w:tcPr>
          <w:p w14:paraId="2655661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规格</w:t>
            </w:r>
            <w:r>
              <w:rPr>
                <w:rFonts w:hint="eastAsia" w:ascii="宋体" w:hAnsi="宋体" w:cs="宋体"/>
                <w:color w:val="auto"/>
                <w:sz w:val="24"/>
                <w:szCs w:val="24"/>
                <w:highlight w:val="none"/>
                <w:lang w:eastAsia="zh-CN"/>
              </w:rPr>
              <w:t>（含水率）</w:t>
            </w:r>
          </w:p>
        </w:tc>
        <w:tc>
          <w:tcPr>
            <w:tcW w:w="1312" w:type="dxa"/>
            <w:vAlign w:val="center"/>
          </w:tcPr>
          <w:p w14:paraId="23357E16">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全费用</w:t>
            </w:r>
            <w:r>
              <w:rPr>
                <w:rFonts w:hint="eastAsia" w:ascii="宋体" w:hAnsi="宋体" w:cs="宋体"/>
                <w:color w:val="auto"/>
                <w:kern w:val="0"/>
                <w:sz w:val="24"/>
                <w:szCs w:val="24"/>
                <w:highlight w:val="none"/>
              </w:rPr>
              <w:t>单价（元/吨）</w:t>
            </w:r>
          </w:p>
        </w:tc>
        <w:tc>
          <w:tcPr>
            <w:tcW w:w="913" w:type="dxa"/>
            <w:vAlign w:val="center"/>
          </w:tcPr>
          <w:p w14:paraId="7D94F76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暂定</w:t>
            </w:r>
            <w:r>
              <w:rPr>
                <w:rFonts w:hint="eastAsia" w:ascii="宋体" w:hAnsi="宋体" w:cs="宋体"/>
                <w:color w:val="auto"/>
                <w:kern w:val="0"/>
                <w:sz w:val="24"/>
                <w:szCs w:val="24"/>
                <w:highlight w:val="none"/>
              </w:rPr>
              <w:t>数量（吨）</w:t>
            </w:r>
          </w:p>
        </w:tc>
        <w:tc>
          <w:tcPr>
            <w:tcW w:w="1076" w:type="dxa"/>
            <w:vAlign w:val="center"/>
          </w:tcPr>
          <w:p w14:paraId="47470326">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r>
              <w:rPr>
                <w:rFonts w:hint="eastAsia" w:ascii="宋体" w:hAnsi="宋体" w:cs="宋体"/>
                <w:color w:val="auto"/>
                <w:kern w:val="0"/>
                <w:sz w:val="24"/>
                <w:szCs w:val="24"/>
                <w:highlight w:val="none"/>
                <w:lang w:eastAsia="zh-CN"/>
              </w:rPr>
              <w:t>暂定价格</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元）</w:t>
            </w:r>
          </w:p>
        </w:tc>
        <w:tc>
          <w:tcPr>
            <w:tcW w:w="837" w:type="dxa"/>
            <w:vAlign w:val="center"/>
          </w:tcPr>
          <w:p w14:paraId="36D8B953">
            <w:pPr>
              <w:widowControl/>
              <w:jc w:val="center"/>
              <w:textAlignment w:val="center"/>
              <w:rPr>
                <w:rFonts w:ascii="宋体" w:hAnsi="宋体" w:cs="宋体"/>
                <w:color w:val="auto"/>
                <w:kern w:val="0"/>
                <w:sz w:val="24"/>
                <w:szCs w:val="24"/>
                <w:highlight w:val="none"/>
              </w:rPr>
            </w:pPr>
            <w:r>
              <w:rPr>
                <w:rStyle w:val="55"/>
                <w:rFonts w:hint="eastAsia"/>
                <w:color w:val="auto"/>
                <w:sz w:val="24"/>
                <w:szCs w:val="24"/>
                <w:highlight w:val="none"/>
              </w:rPr>
              <w:t>备注</w:t>
            </w:r>
          </w:p>
        </w:tc>
      </w:tr>
      <w:tr w14:paraId="2E72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trPr>
        <w:tc>
          <w:tcPr>
            <w:tcW w:w="581" w:type="dxa"/>
            <w:vAlign w:val="center"/>
          </w:tcPr>
          <w:p w14:paraId="4CDEAB01">
            <w:pPr>
              <w:widowControl/>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p w14:paraId="34A82F9E">
            <w:pPr>
              <w:widowControl/>
              <w:jc w:val="center"/>
              <w:textAlignment w:val="center"/>
              <w:rPr>
                <w:rFonts w:hint="eastAsia" w:ascii="宋体" w:hAnsi="宋体" w:eastAsia="宋体" w:cs="宋体"/>
                <w:color w:val="auto"/>
                <w:kern w:val="0"/>
                <w:sz w:val="24"/>
                <w:szCs w:val="24"/>
                <w:highlight w:val="none"/>
                <w:lang w:val="en-US" w:eastAsia="zh-CN"/>
              </w:rPr>
            </w:pPr>
          </w:p>
        </w:tc>
        <w:tc>
          <w:tcPr>
            <w:tcW w:w="1157" w:type="dxa"/>
            <w:vAlign w:val="center"/>
          </w:tcPr>
          <w:p w14:paraId="53D3BA8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危废（物化污泥）</w:t>
            </w:r>
          </w:p>
        </w:tc>
        <w:tc>
          <w:tcPr>
            <w:tcW w:w="3175" w:type="dxa"/>
            <w:vAlign w:val="center"/>
          </w:tcPr>
          <w:p w14:paraId="7F3CE206">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废物</w:t>
            </w:r>
            <w:r>
              <w:rPr>
                <w:rFonts w:hint="eastAsia" w:ascii="宋体" w:hAnsi="宋体" w:cs="宋体"/>
                <w:color w:val="auto"/>
                <w:sz w:val="24"/>
                <w:szCs w:val="24"/>
                <w:highlight w:val="none"/>
                <w:lang w:eastAsia="zh-CN"/>
              </w:rPr>
              <w:t>类别</w:t>
            </w:r>
            <w:r>
              <w:rPr>
                <w:rFonts w:hint="eastAsia" w:ascii="宋体" w:hAnsi="宋体" w:cs="宋体"/>
                <w:color w:val="auto"/>
                <w:sz w:val="24"/>
                <w:szCs w:val="24"/>
                <w:highlight w:val="none"/>
              </w:rPr>
              <w:t>：HW</w:t>
            </w:r>
            <w:r>
              <w:rPr>
                <w:rFonts w:hint="eastAsia" w:ascii="宋体" w:hAnsi="宋体" w:cs="宋体"/>
                <w:color w:val="auto"/>
                <w:sz w:val="24"/>
                <w:szCs w:val="24"/>
                <w:highlight w:val="none"/>
                <w:lang w:val="en-US" w:eastAsia="zh-CN"/>
              </w:rPr>
              <w:t>49</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代码：</w:t>
            </w:r>
            <w:r>
              <w:rPr>
                <w:rFonts w:hint="eastAsia" w:ascii="宋体" w:hAnsi="宋体" w:eastAsia="宋体"/>
                <w:color w:val="auto"/>
                <w:sz w:val="24"/>
                <w:szCs w:val="24"/>
                <w:highlight w:val="none"/>
                <w:lang w:val="en-US" w:eastAsia="zh-CN"/>
              </w:rPr>
              <w:t>772</w:t>
            </w:r>
            <w:r>
              <w:rPr>
                <w:rFonts w:ascii="宋体" w:hAnsi="宋体" w:eastAsia="宋体"/>
                <w:color w:val="auto"/>
                <w:sz w:val="24"/>
                <w:szCs w:val="24"/>
                <w:highlight w:val="none"/>
              </w:rPr>
              <w:t>-00</w:t>
            </w:r>
            <w:r>
              <w:rPr>
                <w:rFonts w:hint="eastAsia" w:ascii="宋体" w:hAnsi="宋体" w:eastAsia="宋体"/>
                <w:color w:val="auto"/>
                <w:sz w:val="24"/>
                <w:szCs w:val="24"/>
                <w:highlight w:val="none"/>
                <w:lang w:val="en-US" w:eastAsia="zh-CN"/>
              </w:rPr>
              <w:t>6</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49</w:t>
            </w:r>
            <w:r>
              <w:rPr>
                <w:rFonts w:hint="eastAsia" w:ascii="宋体" w:hAnsi="宋体" w:cs="宋体"/>
                <w:color w:val="auto"/>
                <w:kern w:val="0"/>
                <w:sz w:val="24"/>
                <w:szCs w:val="24"/>
                <w:highlight w:val="none"/>
              </w:rPr>
              <w:t>，含水率</w:t>
            </w:r>
            <w:r>
              <w:rPr>
                <w:rFonts w:hint="eastAsia" w:ascii="宋体" w:hAnsi="宋体" w:cs="宋体"/>
                <w:color w:val="auto"/>
                <w:kern w:val="0"/>
                <w:sz w:val="24"/>
                <w:szCs w:val="24"/>
                <w:highlight w:val="none"/>
                <w:lang w:eastAsia="zh-CN"/>
              </w:rPr>
              <w:t>约</w:t>
            </w:r>
            <w:r>
              <w:rPr>
                <w:rFonts w:hint="eastAsia" w:ascii="宋体" w:hAnsi="宋体" w:cs="宋体"/>
                <w:color w:val="auto"/>
                <w:kern w:val="0"/>
                <w:sz w:val="24"/>
                <w:szCs w:val="24"/>
                <w:highlight w:val="none"/>
                <w:lang w:val="en-US" w:eastAsia="zh-CN"/>
              </w:rPr>
              <w:t>60</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eastAsia="zh-CN"/>
              </w:rPr>
              <w:t>。</w:t>
            </w:r>
          </w:p>
        </w:tc>
        <w:tc>
          <w:tcPr>
            <w:tcW w:w="1312" w:type="dxa"/>
            <w:vAlign w:val="center"/>
          </w:tcPr>
          <w:p w14:paraId="33F5B94B">
            <w:pPr>
              <w:widowControl/>
              <w:jc w:val="center"/>
              <w:textAlignment w:val="center"/>
              <w:rPr>
                <w:rFonts w:ascii="宋体" w:hAnsi="宋体" w:cs="宋体"/>
                <w:color w:val="auto"/>
                <w:kern w:val="0"/>
                <w:sz w:val="24"/>
                <w:szCs w:val="24"/>
                <w:highlight w:val="none"/>
              </w:rPr>
            </w:pPr>
          </w:p>
        </w:tc>
        <w:tc>
          <w:tcPr>
            <w:tcW w:w="913" w:type="dxa"/>
            <w:vAlign w:val="center"/>
          </w:tcPr>
          <w:p w14:paraId="4ACBA611">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600</w:t>
            </w:r>
          </w:p>
        </w:tc>
        <w:tc>
          <w:tcPr>
            <w:tcW w:w="1076" w:type="dxa"/>
            <w:vAlign w:val="center"/>
          </w:tcPr>
          <w:p w14:paraId="7BD4CC95">
            <w:pPr>
              <w:widowControl/>
              <w:jc w:val="center"/>
              <w:textAlignment w:val="center"/>
              <w:rPr>
                <w:rFonts w:ascii="宋体" w:hAnsi="宋体" w:cs="宋体"/>
                <w:color w:val="auto"/>
                <w:kern w:val="0"/>
                <w:sz w:val="24"/>
                <w:szCs w:val="24"/>
                <w:highlight w:val="none"/>
              </w:rPr>
            </w:pPr>
          </w:p>
        </w:tc>
        <w:tc>
          <w:tcPr>
            <w:tcW w:w="837" w:type="dxa"/>
            <w:vAlign w:val="center"/>
          </w:tcPr>
          <w:p w14:paraId="7B7B59C3">
            <w:pPr>
              <w:widowControl/>
              <w:jc w:val="center"/>
              <w:textAlignment w:val="center"/>
              <w:rPr>
                <w:rFonts w:ascii="宋体" w:hAnsi="宋体" w:cs="宋体"/>
                <w:color w:val="auto"/>
                <w:kern w:val="0"/>
                <w:sz w:val="24"/>
                <w:szCs w:val="24"/>
                <w:highlight w:val="none"/>
              </w:rPr>
            </w:pPr>
          </w:p>
        </w:tc>
      </w:tr>
    </w:tbl>
    <w:p w14:paraId="427F7837">
      <w:pPr>
        <w:adjustRightInd w:val="0"/>
        <w:snapToGrid w:val="0"/>
        <w:spacing w:line="240" w:lineRule="auto"/>
        <w:rPr>
          <w:rFonts w:hint="eastAsia" w:ascii="宋体" w:hAnsi="宋体" w:cs="宋体"/>
          <w:color w:val="auto"/>
          <w:kern w:val="0"/>
          <w:sz w:val="24"/>
          <w:szCs w:val="24"/>
          <w:highlight w:val="none"/>
          <w:lang w:eastAsia="zh-CN"/>
        </w:rPr>
      </w:pPr>
      <w:r>
        <w:rPr>
          <w:rFonts w:hint="eastAsia" w:ascii="宋体" w:hAnsi="宋体" w:cs="宋体"/>
          <w:b/>
          <w:bCs/>
          <w:color w:val="auto"/>
          <w:sz w:val="24"/>
          <w:highlight w:val="none"/>
        </w:rPr>
        <w:t>注：</w:t>
      </w:r>
      <w:r>
        <w:rPr>
          <w:rFonts w:hint="eastAsia" w:ascii="宋体" w:hAnsi="宋体" w:cs="宋体"/>
          <w:b w:val="0"/>
          <w:bCs w:val="0"/>
          <w:color w:val="auto"/>
          <w:sz w:val="24"/>
          <w:szCs w:val="24"/>
          <w:highlight w:val="none"/>
          <w:lang w:val="en-US" w:eastAsia="zh-CN"/>
        </w:rPr>
        <w:t>1、全费用</w:t>
      </w:r>
      <w:r>
        <w:rPr>
          <w:rFonts w:hint="eastAsia" w:ascii="宋体" w:hAnsi="宋体" w:cs="宋体"/>
          <w:color w:val="auto"/>
          <w:sz w:val="24"/>
          <w:szCs w:val="24"/>
          <w:highlight w:val="none"/>
          <w:lang w:eastAsia="zh-CN"/>
        </w:rPr>
        <w:t>单价价格</w:t>
      </w:r>
      <w:r>
        <w:rPr>
          <w:rFonts w:hint="eastAsia" w:ascii="宋体" w:hAnsi="宋体" w:cs="宋体"/>
          <w:color w:val="auto"/>
          <w:sz w:val="24"/>
          <w:szCs w:val="24"/>
          <w:highlight w:val="none"/>
        </w:rPr>
        <w:t>包括但不限于</w:t>
      </w:r>
      <w:r>
        <w:rPr>
          <w:rFonts w:hint="eastAsia" w:ascii="宋体" w:hAnsi="宋体" w:cs="宋体"/>
          <w:color w:val="auto"/>
          <w:kern w:val="0"/>
          <w:sz w:val="24"/>
          <w:szCs w:val="24"/>
          <w:highlight w:val="none"/>
        </w:rPr>
        <w:t>对本项目</w:t>
      </w:r>
      <w:r>
        <w:rPr>
          <w:rFonts w:hint="eastAsia" w:ascii="宋体" w:hAnsi="宋体" w:cs="宋体"/>
          <w:color w:val="auto"/>
          <w:kern w:val="0"/>
          <w:sz w:val="24"/>
          <w:szCs w:val="24"/>
          <w:highlight w:val="none"/>
          <w:lang w:eastAsia="zh-CN"/>
        </w:rPr>
        <w:t>每吨危废的处置</w:t>
      </w:r>
      <w:r>
        <w:rPr>
          <w:rFonts w:hint="eastAsia" w:ascii="宋体" w:hAnsi="宋体" w:cs="宋体"/>
          <w:color w:val="auto"/>
          <w:kern w:val="0"/>
          <w:sz w:val="24"/>
          <w:szCs w:val="24"/>
          <w:highlight w:val="none"/>
        </w:rPr>
        <w:t>及其伴随服务各项支付金额的总和。上述</w:t>
      </w:r>
      <w:r>
        <w:rPr>
          <w:rFonts w:hint="eastAsia" w:ascii="宋体" w:hAnsi="宋体" w:cs="宋体"/>
          <w:color w:val="auto"/>
          <w:kern w:val="0"/>
          <w:sz w:val="24"/>
          <w:szCs w:val="24"/>
          <w:highlight w:val="none"/>
          <w:lang w:eastAsia="zh-CN"/>
        </w:rPr>
        <w:t>全费用单价</w:t>
      </w:r>
      <w:r>
        <w:rPr>
          <w:rFonts w:hint="eastAsia" w:ascii="宋体" w:hAnsi="宋体" w:cs="宋体"/>
          <w:color w:val="auto"/>
          <w:kern w:val="0"/>
          <w:sz w:val="24"/>
          <w:szCs w:val="24"/>
          <w:highlight w:val="none"/>
        </w:rPr>
        <w:t>金额包括但不限于服务人员的工资、国家规定的所有管理服务人员的社会保险、人身意外险、福利、培训、以及服务所用设备、工具购置及维修费用、服务所用材料消耗费用、运输、装卸、现场清扫、管理费用、利润、税金（需提供甲方要求的增值税专用发票）、政策性文件规定及合同包含的所有风险(包括但不限于遇最低工资调整、物价上涨、重大活动、检查、突发情况、税费调整等)、责任等各项应有费用。同时还应充分考虑市场风险、国家政策性调整风险系数以及承担的义务、责任、风险等一切因素、不可预见费及其他一切相关费用等全部费用</w:t>
      </w:r>
      <w:r>
        <w:rPr>
          <w:rFonts w:hint="eastAsia" w:ascii="宋体" w:hAnsi="宋体" w:cs="宋体"/>
          <w:color w:val="auto"/>
          <w:kern w:val="0"/>
          <w:sz w:val="24"/>
          <w:szCs w:val="24"/>
          <w:highlight w:val="none"/>
          <w:lang w:eastAsia="zh-CN"/>
        </w:rPr>
        <w:t>。</w:t>
      </w:r>
    </w:p>
    <w:p w14:paraId="432561F6">
      <w:pPr>
        <w:pStyle w:val="27"/>
        <w:ind w:firstLine="480" w:firstLineChars="200"/>
        <w:rPr>
          <w:rFonts w:hint="eastAsia" w:ascii="宋体" w:hAnsi="宋体"/>
          <w:color w:val="auto"/>
          <w:sz w:val="24"/>
          <w:highlight w:val="none"/>
        </w:rPr>
      </w:pPr>
      <w:r>
        <w:rPr>
          <w:rFonts w:hint="eastAsia" w:ascii="宋体" w:hAnsi="宋体" w:cs="宋体"/>
          <w:color w:val="auto"/>
          <w:kern w:val="0"/>
          <w:sz w:val="24"/>
          <w:szCs w:val="24"/>
          <w:highlight w:val="none"/>
          <w:lang w:val="en-US" w:eastAsia="zh-CN"/>
        </w:rPr>
        <w:t>2、报价表中危废数量</w:t>
      </w:r>
      <w:r>
        <w:rPr>
          <w:rFonts w:hint="eastAsia" w:ascii="宋体" w:hAnsi="宋体" w:cs="宋体"/>
          <w:color w:val="auto"/>
          <w:sz w:val="24"/>
          <w:szCs w:val="24"/>
          <w:highlight w:val="none"/>
          <w:lang w:eastAsia="zh-CN"/>
        </w:rPr>
        <w:t>为暂定量，</w:t>
      </w:r>
      <w:r>
        <w:rPr>
          <w:rFonts w:hint="eastAsia" w:ascii="宋体" w:hAnsi="宋体" w:cs="宋体"/>
          <w:color w:val="auto"/>
          <w:sz w:val="24"/>
          <w:szCs w:val="24"/>
          <w:highlight w:val="none"/>
        </w:rPr>
        <w:t>具体数量以实际处置废物数量为准</w:t>
      </w:r>
      <w:r>
        <w:rPr>
          <w:rFonts w:hint="eastAsia" w:ascii="宋体" w:hAnsi="宋体" w:cs="宋体"/>
          <w:color w:val="auto"/>
          <w:sz w:val="24"/>
          <w:szCs w:val="24"/>
          <w:highlight w:val="none"/>
          <w:lang w:eastAsia="zh-CN"/>
        </w:rPr>
        <w:t>。</w:t>
      </w:r>
    </w:p>
    <w:p w14:paraId="440C75F1">
      <w:pPr>
        <w:spacing w:line="360" w:lineRule="auto"/>
        <w:jc w:val="right"/>
        <w:rPr>
          <w:rFonts w:hint="eastAsia" w:ascii="宋体" w:hAnsi="宋体"/>
          <w:color w:val="auto"/>
          <w:sz w:val="24"/>
          <w:highlight w:val="none"/>
          <w:lang w:eastAsia="zh-CN"/>
        </w:rPr>
      </w:pPr>
      <w:r>
        <w:rPr>
          <w:rFonts w:hint="eastAsia" w:ascii="宋体" w:hAnsi="宋体"/>
          <w:color w:val="auto"/>
          <w:sz w:val="24"/>
          <w:highlight w:val="none"/>
          <w:lang w:eastAsia="zh-CN"/>
        </w:rPr>
        <w:t>、</w:t>
      </w:r>
    </w:p>
    <w:p w14:paraId="505D981C">
      <w:pPr>
        <w:spacing w:line="360" w:lineRule="auto"/>
        <w:jc w:val="center"/>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w:t>
      </w:r>
      <w:r>
        <w:rPr>
          <w:rFonts w:hint="eastAsia" w:ascii="宋体" w:hAnsi="宋体"/>
          <w:color w:val="auto"/>
          <w:sz w:val="24"/>
          <w:highlight w:val="none"/>
          <w:lang w:eastAsia="zh-CN"/>
        </w:rPr>
        <w:t>其</w:t>
      </w:r>
      <w:r>
        <w:rPr>
          <w:rFonts w:hint="eastAsia" w:ascii="宋体" w:hAnsi="宋体"/>
          <w:color w:val="auto"/>
          <w:sz w:val="24"/>
          <w:highlight w:val="none"/>
        </w:rPr>
        <w:t xml:space="preserve">授权代表（签字或盖章）：                    </w:t>
      </w:r>
    </w:p>
    <w:p w14:paraId="12CB7CD2">
      <w:pPr>
        <w:spacing w:line="360" w:lineRule="auto"/>
        <w:jc w:val="center"/>
        <w:rPr>
          <w:rFonts w:hint="eastAsia" w:ascii="宋体" w:hAnsi="宋体"/>
          <w:color w:val="auto"/>
          <w:sz w:val="24"/>
          <w:highlight w:val="none"/>
          <w:u w:val="single"/>
        </w:rPr>
      </w:pPr>
      <w:r>
        <w:rPr>
          <w:rFonts w:hint="eastAsia" w:ascii="宋体" w:hAnsi="宋体"/>
          <w:color w:val="auto"/>
          <w:sz w:val="24"/>
          <w:highlight w:val="none"/>
        </w:rPr>
        <w:t>供应商全称（盖章）：</w:t>
      </w:r>
      <w:r>
        <w:rPr>
          <w:rFonts w:hint="eastAsia" w:ascii="宋体" w:hAnsi="宋体"/>
          <w:color w:val="auto"/>
          <w:sz w:val="24"/>
          <w:highlight w:val="none"/>
          <w:u w:val="single"/>
        </w:rPr>
        <w:t xml:space="preserve">                         </w:t>
      </w:r>
    </w:p>
    <w:p w14:paraId="35EB630C">
      <w:pPr>
        <w:spacing w:line="360" w:lineRule="auto"/>
        <w:jc w:val="right"/>
        <w:rPr>
          <w:rFonts w:ascii="宋体" w:hAnsi="宋体"/>
          <w:color w:val="auto"/>
          <w:sz w:val="24"/>
          <w:highlight w:val="none"/>
        </w:rPr>
      </w:pPr>
      <w:r>
        <w:rPr>
          <w:rFonts w:hint="eastAsia" w:ascii="宋体" w:hAnsi="宋体"/>
          <w:color w:val="auto"/>
          <w:sz w:val="24"/>
          <w:highlight w:val="none"/>
        </w:rPr>
        <w:t>日期：    年   月    日</w:t>
      </w:r>
    </w:p>
    <w:p w14:paraId="36553850">
      <w:pPr>
        <w:ind w:firstLine="3092" w:firstLineChars="1100"/>
        <w:outlineLvl w:val="1"/>
        <w:rPr>
          <w:rFonts w:ascii="宋体" w:hAnsi="宋体" w:cs="宋体"/>
          <w:b/>
          <w:bCs/>
          <w:color w:val="auto"/>
          <w:sz w:val="28"/>
          <w:szCs w:val="28"/>
          <w:highlight w:val="none"/>
        </w:rPr>
      </w:pPr>
    </w:p>
    <w:p w14:paraId="3D51B19C">
      <w:pPr>
        <w:ind w:firstLine="3092" w:firstLineChars="1100"/>
        <w:outlineLvl w:val="1"/>
        <w:rPr>
          <w:rFonts w:ascii="宋体" w:hAnsi="宋体" w:cs="宋体"/>
          <w:b/>
          <w:bCs/>
          <w:color w:val="auto"/>
          <w:sz w:val="28"/>
          <w:szCs w:val="28"/>
          <w:highlight w:val="none"/>
        </w:rPr>
      </w:pPr>
    </w:p>
    <w:p w14:paraId="1576AF12">
      <w:pPr>
        <w:ind w:firstLine="3092" w:firstLineChars="1100"/>
        <w:outlineLvl w:val="1"/>
        <w:rPr>
          <w:rFonts w:ascii="宋体" w:hAnsi="宋体" w:cs="宋体"/>
          <w:b/>
          <w:bCs/>
          <w:color w:val="auto"/>
          <w:sz w:val="28"/>
          <w:szCs w:val="28"/>
          <w:highlight w:val="none"/>
        </w:rPr>
        <w:sectPr>
          <w:pgSz w:w="11906" w:h="16838"/>
          <w:pgMar w:top="1440" w:right="1440" w:bottom="1440" w:left="1440" w:header="851" w:footer="686" w:gutter="0"/>
          <w:pgNumType w:fmt="decimal"/>
          <w:cols w:space="0" w:num="1"/>
          <w:docGrid w:type="lines" w:linePitch="322" w:charSpace="0"/>
        </w:sectPr>
      </w:pPr>
    </w:p>
    <w:p w14:paraId="4434DC42">
      <w:pPr>
        <w:ind w:firstLine="3092" w:firstLineChars="1100"/>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六、技术条款偏离表</w:t>
      </w:r>
      <w:bookmarkEnd w:id="195"/>
      <w:bookmarkEnd w:id="196"/>
      <w:bookmarkEnd w:id="197"/>
      <w:bookmarkEnd w:id="198"/>
    </w:p>
    <w:p w14:paraId="5C1A62DB">
      <w:pPr>
        <w:pStyle w:val="48"/>
        <w:jc w:val="center"/>
        <w:rPr>
          <w:rFonts w:ascii="宋体" w:hAnsi="宋体" w:cs="宋体"/>
          <w:color w:val="auto"/>
          <w:highlight w:val="none"/>
        </w:rPr>
      </w:pPr>
    </w:p>
    <w:p w14:paraId="0E60F6EF">
      <w:pPr>
        <w:spacing w:line="360" w:lineRule="auto"/>
        <w:rPr>
          <w:rFonts w:hint="eastAsia" w:ascii="宋体" w:hAnsi="宋体" w:cs="宋体"/>
          <w:bCs/>
          <w:color w:val="auto"/>
          <w:sz w:val="24"/>
          <w:highlight w:val="none"/>
          <w:lang w:eastAsia="zh-CN"/>
        </w:rPr>
      </w:pPr>
      <w:bookmarkStart w:id="199" w:name="_Toc18909"/>
      <w:bookmarkStart w:id="200" w:name="_Toc21273"/>
      <w:bookmarkStart w:id="201" w:name="_Toc23059"/>
      <w:bookmarkStart w:id="202" w:name="_Toc14121"/>
      <w:bookmarkStart w:id="203" w:name="_Toc2511"/>
      <w:bookmarkStart w:id="204" w:name="_Toc26070"/>
      <w:bookmarkStart w:id="205" w:name="_Toc13304"/>
      <w:bookmarkStart w:id="206" w:name="_Toc1730"/>
      <w:bookmarkStart w:id="207" w:name="_Toc15092"/>
      <w:bookmarkStart w:id="208" w:name="_Toc438714876"/>
      <w:bookmarkStart w:id="209" w:name="_Toc438714094"/>
      <w:bookmarkStart w:id="210" w:name="_Toc17469"/>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响水县灌江水务有限责任公司羽清污水厂污泥处置单位采购项目(二次）</w:t>
      </w:r>
    </w:p>
    <w:p w14:paraId="1A2503E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项目编号：  </w:t>
      </w:r>
      <w:r>
        <w:rPr>
          <w:rFonts w:hint="eastAsia" w:ascii="宋体" w:hAnsi="宋体" w:eastAsia="宋体" w:cs="宋体"/>
          <w:bCs/>
          <w:color w:val="auto"/>
          <w:kern w:val="0"/>
          <w:sz w:val="24"/>
          <w:szCs w:val="24"/>
          <w:highlight w:val="none"/>
          <w:lang w:val="en-US" w:eastAsia="zh-CN"/>
        </w:rPr>
        <w:t>XSX-GQCG-20260</w:t>
      </w:r>
      <w:r>
        <w:rPr>
          <w:rFonts w:hint="eastAsia" w:ascii="宋体" w:hAnsi="宋体" w:cs="宋体"/>
          <w:bCs/>
          <w:color w:val="auto"/>
          <w:kern w:val="0"/>
          <w:sz w:val="24"/>
          <w:szCs w:val="24"/>
          <w:highlight w:val="none"/>
          <w:lang w:val="en-US" w:eastAsia="zh-CN"/>
        </w:rPr>
        <w:t>4016</w:t>
      </w:r>
      <w:r>
        <w:rPr>
          <w:rFonts w:hint="eastAsia" w:ascii="宋体" w:hAnsi="宋体" w:eastAsia="宋体" w:cs="宋体"/>
          <w:bCs/>
          <w:color w:val="auto"/>
          <w:kern w:val="0"/>
          <w:sz w:val="24"/>
          <w:szCs w:val="24"/>
          <w:highlight w:val="none"/>
        </w:rPr>
        <w:t xml:space="preserve"> </w:t>
      </w:r>
      <w:r>
        <w:rPr>
          <w:rFonts w:hint="eastAsia" w:ascii="宋体" w:hAnsi="宋体" w:cs="宋体"/>
          <w:color w:val="auto"/>
          <w:sz w:val="24"/>
          <w:highlight w:val="non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167"/>
        <w:gridCol w:w="3203"/>
        <w:gridCol w:w="3450"/>
        <w:gridCol w:w="1005"/>
      </w:tblGrid>
      <w:tr w14:paraId="6351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572" w:type="dxa"/>
            <w:tcMar>
              <w:top w:w="12" w:type="dxa"/>
              <w:left w:w="12" w:type="dxa"/>
              <w:right w:w="12" w:type="dxa"/>
            </w:tcMar>
            <w:vAlign w:val="center"/>
          </w:tcPr>
          <w:p w14:paraId="3AC8392C">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167" w:type="dxa"/>
            <w:tcMar>
              <w:top w:w="12" w:type="dxa"/>
              <w:left w:w="12" w:type="dxa"/>
              <w:right w:w="12" w:type="dxa"/>
            </w:tcMar>
            <w:vAlign w:val="center"/>
          </w:tcPr>
          <w:p w14:paraId="5F61878D">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产品名称</w:t>
            </w:r>
          </w:p>
        </w:tc>
        <w:tc>
          <w:tcPr>
            <w:tcW w:w="3203" w:type="dxa"/>
            <w:tcMar>
              <w:top w:w="12" w:type="dxa"/>
              <w:left w:w="12" w:type="dxa"/>
              <w:right w:w="12" w:type="dxa"/>
            </w:tcMar>
            <w:vAlign w:val="center"/>
          </w:tcPr>
          <w:p w14:paraId="461D95EF">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性能参数</w:t>
            </w:r>
          </w:p>
        </w:tc>
        <w:tc>
          <w:tcPr>
            <w:tcW w:w="3450" w:type="dxa"/>
            <w:tcMar>
              <w:top w:w="12" w:type="dxa"/>
              <w:left w:w="12" w:type="dxa"/>
              <w:right w:w="12" w:type="dxa"/>
            </w:tcMar>
            <w:vAlign w:val="center"/>
          </w:tcPr>
          <w:p w14:paraId="4A36B987">
            <w:pPr>
              <w:tabs>
                <w:tab w:val="left" w:pos="2814"/>
              </w:tabs>
              <w:ind w:left="120" w:leftChars="57"/>
              <w:jc w:val="center"/>
              <w:rPr>
                <w:rFonts w:ascii="宋体" w:hAnsi="宋体" w:cs="宋体"/>
                <w:color w:val="auto"/>
                <w:kern w:val="0"/>
                <w:sz w:val="24"/>
                <w:highlight w:val="none"/>
              </w:rPr>
            </w:pPr>
            <w:r>
              <w:rPr>
                <w:rFonts w:hint="eastAsia" w:ascii="宋体" w:hAnsi="宋体" w:cs="宋体"/>
                <w:color w:val="auto"/>
                <w:sz w:val="24"/>
                <w:highlight w:val="none"/>
              </w:rPr>
              <w:t>投标文件中作出的技术响应</w:t>
            </w:r>
          </w:p>
        </w:tc>
        <w:tc>
          <w:tcPr>
            <w:tcW w:w="1005" w:type="dxa"/>
            <w:tcMar>
              <w:top w:w="12" w:type="dxa"/>
              <w:left w:w="12" w:type="dxa"/>
              <w:right w:w="12" w:type="dxa"/>
            </w:tcMar>
            <w:vAlign w:val="center"/>
          </w:tcPr>
          <w:p w14:paraId="41FF6733">
            <w:pPr>
              <w:tabs>
                <w:tab w:val="left" w:pos="2814"/>
              </w:tabs>
              <w:jc w:val="center"/>
              <w:rPr>
                <w:rFonts w:ascii="宋体" w:hAnsi="宋体" w:cs="宋体"/>
                <w:color w:val="auto"/>
                <w:sz w:val="24"/>
                <w:highlight w:val="none"/>
              </w:rPr>
            </w:pPr>
            <w:r>
              <w:rPr>
                <w:rFonts w:hint="eastAsia" w:ascii="宋体" w:hAnsi="宋体" w:cs="宋体"/>
                <w:color w:val="auto"/>
                <w:sz w:val="24"/>
                <w:highlight w:val="none"/>
              </w:rPr>
              <w:t>正负</w:t>
            </w:r>
          </w:p>
          <w:p w14:paraId="25119A0D">
            <w:pPr>
              <w:tabs>
                <w:tab w:val="left" w:pos="2814"/>
              </w:tabs>
              <w:jc w:val="center"/>
              <w:rPr>
                <w:rFonts w:ascii="宋体" w:hAnsi="宋体" w:cs="宋体"/>
                <w:color w:val="auto"/>
                <w:kern w:val="0"/>
                <w:sz w:val="24"/>
                <w:highlight w:val="none"/>
              </w:rPr>
            </w:pPr>
            <w:r>
              <w:rPr>
                <w:rFonts w:hint="eastAsia" w:ascii="宋体" w:hAnsi="宋体" w:cs="宋体"/>
                <w:color w:val="auto"/>
                <w:sz w:val="24"/>
                <w:highlight w:val="none"/>
              </w:rPr>
              <w:t>偏离</w:t>
            </w:r>
          </w:p>
        </w:tc>
      </w:tr>
      <w:tr w14:paraId="0806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4A2B876F">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1 </w:t>
            </w:r>
          </w:p>
        </w:tc>
        <w:tc>
          <w:tcPr>
            <w:tcW w:w="1167" w:type="dxa"/>
            <w:tcMar>
              <w:top w:w="12" w:type="dxa"/>
              <w:left w:w="12" w:type="dxa"/>
              <w:right w:w="12" w:type="dxa"/>
            </w:tcMar>
            <w:vAlign w:val="center"/>
          </w:tcPr>
          <w:p w14:paraId="2EC5100F">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4ED0D13C">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3ADFDE48">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60F734E2">
            <w:pPr>
              <w:widowControl/>
              <w:spacing w:line="320" w:lineRule="exact"/>
              <w:jc w:val="left"/>
              <w:textAlignment w:val="center"/>
              <w:rPr>
                <w:rFonts w:ascii="宋体" w:hAnsi="宋体" w:cs="宋体"/>
                <w:color w:val="auto"/>
                <w:kern w:val="0"/>
                <w:sz w:val="24"/>
                <w:highlight w:val="none"/>
              </w:rPr>
            </w:pPr>
          </w:p>
        </w:tc>
      </w:tr>
      <w:tr w14:paraId="1D5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350EE178">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2 </w:t>
            </w:r>
          </w:p>
        </w:tc>
        <w:tc>
          <w:tcPr>
            <w:tcW w:w="1167" w:type="dxa"/>
            <w:tcMar>
              <w:top w:w="12" w:type="dxa"/>
              <w:left w:w="12" w:type="dxa"/>
              <w:right w:w="12" w:type="dxa"/>
            </w:tcMar>
            <w:vAlign w:val="center"/>
          </w:tcPr>
          <w:p w14:paraId="731512DB">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5E80A719">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70FCBAC5">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24F7FEED">
            <w:pPr>
              <w:widowControl/>
              <w:spacing w:line="320" w:lineRule="exact"/>
              <w:jc w:val="left"/>
              <w:textAlignment w:val="center"/>
              <w:rPr>
                <w:rFonts w:ascii="宋体" w:hAnsi="宋体" w:cs="宋体"/>
                <w:color w:val="auto"/>
                <w:kern w:val="0"/>
                <w:sz w:val="24"/>
                <w:highlight w:val="none"/>
              </w:rPr>
            </w:pPr>
          </w:p>
        </w:tc>
      </w:tr>
      <w:tr w14:paraId="0A4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1AE0ABF2">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3 </w:t>
            </w:r>
          </w:p>
        </w:tc>
        <w:tc>
          <w:tcPr>
            <w:tcW w:w="1167" w:type="dxa"/>
            <w:tcMar>
              <w:top w:w="12" w:type="dxa"/>
              <w:left w:w="12" w:type="dxa"/>
              <w:right w:w="12" w:type="dxa"/>
            </w:tcMar>
            <w:vAlign w:val="center"/>
          </w:tcPr>
          <w:p w14:paraId="6724E26C">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0B204817">
            <w:pPr>
              <w:widowControl/>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396DE0A0">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07A32199">
            <w:pPr>
              <w:widowControl/>
              <w:spacing w:line="320" w:lineRule="exact"/>
              <w:jc w:val="left"/>
              <w:textAlignment w:val="center"/>
              <w:rPr>
                <w:rFonts w:ascii="宋体" w:hAnsi="宋体" w:cs="宋体"/>
                <w:color w:val="auto"/>
                <w:kern w:val="0"/>
                <w:sz w:val="24"/>
                <w:highlight w:val="none"/>
              </w:rPr>
            </w:pPr>
          </w:p>
        </w:tc>
      </w:tr>
      <w:tr w14:paraId="5DB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095344BE">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4 </w:t>
            </w:r>
          </w:p>
        </w:tc>
        <w:tc>
          <w:tcPr>
            <w:tcW w:w="1167" w:type="dxa"/>
            <w:tcMar>
              <w:top w:w="12" w:type="dxa"/>
              <w:left w:w="12" w:type="dxa"/>
              <w:right w:w="12" w:type="dxa"/>
            </w:tcMar>
            <w:vAlign w:val="center"/>
          </w:tcPr>
          <w:p w14:paraId="24F92D33">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69055251">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1EBF1F52">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647AD914">
            <w:pPr>
              <w:widowControl/>
              <w:spacing w:line="320" w:lineRule="exact"/>
              <w:jc w:val="left"/>
              <w:textAlignment w:val="center"/>
              <w:rPr>
                <w:rFonts w:ascii="宋体" w:hAnsi="宋体" w:cs="宋体"/>
                <w:color w:val="auto"/>
                <w:kern w:val="0"/>
                <w:sz w:val="24"/>
                <w:highlight w:val="none"/>
              </w:rPr>
            </w:pPr>
          </w:p>
        </w:tc>
      </w:tr>
      <w:tr w14:paraId="18C2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1C9BCFBD">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5 </w:t>
            </w:r>
          </w:p>
        </w:tc>
        <w:tc>
          <w:tcPr>
            <w:tcW w:w="1167" w:type="dxa"/>
            <w:tcMar>
              <w:top w:w="12" w:type="dxa"/>
              <w:left w:w="12" w:type="dxa"/>
              <w:right w:w="12" w:type="dxa"/>
            </w:tcMar>
            <w:vAlign w:val="center"/>
          </w:tcPr>
          <w:p w14:paraId="0B3C58F1">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34FEB5EB">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33EBC059">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1BBC8972">
            <w:pPr>
              <w:widowControl/>
              <w:spacing w:line="320" w:lineRule="exact"/>
              <w:jc w:val="left"/>
              <w:textAlignment w:val="center"/>
              <w:rPr>
                <w:rFonts w:ascii="宋体" w:hAnsi="宋体" w:cs="宋体"/>
                <w:color w:val="auto"/>
                <w:kern w:val="0"/>
                <w:sz w:val="24"/>
                <w:highlight w:val="none"/>
              </w:rPr>
            </w:pPr>
          </w:p>
        </w:tc>
      </w:tr>
      <w:tr w14:paraId="6D1B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33D03ED9">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6 </w:t>
            </w:r>
          </w:p>
        </w:tc>
        <w:tc>
          <w:tcPr>
            <w:tcW w:w="1167" w:type="dxa"/>
            <w:tcMar>
              <w:top w:w="12" w:type="dxa"/>
              <w:left w:w="12" w:type="dxa"/>
              <w:right w:w="12" w:type="dxa"/>
            </w:tcMar>
            <w:vAlign w:val="center"/>
          </w:tcPr>
          <w:p w14:paraId="0809A545">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67571017">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79764042">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4ED0ED5E">
            <w:pPr>
              <w:widowControl/>
              <w:spacing w:line="320" w:lineRule="exact"/>
              <w:jc w:val="left"/>
              <w:textAlignment w:val="center"/>
              <w:rPr>
                <w:rFonts w:ascii="宋体" w:hAnsi="宋体" w:cs="宋体"/>
                <w:color w:val="auto"/>
                <w:kern w:val="0"/>
                <w:sz w:val="24"/>
                <w:highlight w:val="none"/>
              </w:rPr>
            </w:pPr>
          </w:p>
        </w:tc>
      </w:tr>
      <w:tr w14:paraId="4E97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0615825D">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7 </w:t>
            </w:r>
          </w:p>
        </w:tc>
        <w:tc>
          <w:tcPr>
            <w:tcW w:w="1167" w:type="dxa"/>
            <w:tcMar>
              <w:top w:w="12" w:type="dxa"/>
              <w:left w:w="12" w:type="dxa"/>
              <w:right w:w="12" w:type="dxa"/>
            </w:tcMar>
            <w:vAlign w:val="center"/>
          </w:tcPr>
          <w:p w14:paraId="6DAA692E">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0262A254">
            <w:pPr>
              <w:jc w:val="left"/>
              <w:rPr>
                <w:rFonts w:ascii="宋体" w:hAnsi="宋体" w:cs="宋体"/>
                <w:color w:val="auto"/>
                <w:sz w:val="24"/>
                <w:highlight w:val="none"/>
              </w:rPr>
            </w:pPr>
          </w:p>
        </w:tc>
        <w:tc>
          <w:tcPr>
            <w:tcW w:w="3450" w:type="dxa"/>
            <w:tcMar>
              <w:top w:w="12" w:type="dxa"/>
              <w:left w:w="12" w:type="dxa"/>
              <w:right w:w="12" w:type="dxa"/>
            </w:tcMar>
            <w:vAlign w:val="center"/>
          </w:tcPr>
          <w:p w14:paraId="2128DACD">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4871009D">
            <w:pPr>
              <w:widowControl/>
              <w:spacing w:line="320" w:lineRule="exact"/>
              <w:jc w:val="left"/>
              <w:textAlignment w:val="center"/>
              <w:rPr>
                <w:rFonts w:ascii="宋体" w:hAnsi="宋体" w:cs="宋体"/>
                <w:color w:val="auto"/>
                <w:kern w:val="0"/>
                <w:sz w:val="24"/>
                <w:highlight w:val="none"/>
              </w:rPr>
            </w:pPr>
          </w:p>
        </w:tc>
      </w:tr>
      <w:tr w14:paraId="66B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6C1F996B">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8 </w:t>
            </w:r>
          </w:p>
        </w:tc>
        <w:tc>
          <w:tcPr>
            <w:tcW w:w="1167" w:type="dxa"/>
            <w:tcMar>
              <w:top w:w="12" w:type="dxa"/>
              <w:left w:w="12" w:type="dxa"/>
              <w:right w:w="12" w:type="dxa"/>
            </w:tcMar>
            <w:vAlign w:val="center"/>
          </w:tcPr>
          <w:p w14:paraId="5B839C9A">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215BBAE8">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5257D00F">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7E7FC3E3">
            <w:pPr>
              <w:widowControl/>
              <w:spacing w:line="320" w:lineRule="exact"/>
              <w:jc w:val="left"/>
              <w:textAlignment w:val="center"/>
              <w:rPr>
                <w:rFonts w:ascii="宋体" w:hAnsi="宋体" w:cs="宋体"/>
                <w:color w:val="auto"/>
                <w:kern w:val="0"/>
                <w:sz w:val="24"/>
                <w:highlight w:val="none"/>
              </w:rPr>
            </w:pPr>
          </w:p>
        </w:tc>
      </w:tr>
      <w:tr w14:paraId="2EB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16D71BF5">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9 </w:t>
            </w:r>
          </w:p>
        </w:tc>
        <w:tc>
          <w:tcPr>
            <w:tcW w:w="1167" w:type="dxa"/>
            <w:tcMar>
              <w:top w:w="12" w:type="dxa"/>
              <w:left w:w="12" w:type="dxa"/>
              <w:right w:w="12" w:type="dxa"/>
            </w:tcMar>
            <w:vAlign w:val="center"/>
          </w:tcPr>
          <w:p w14:paraId="48C4AA85">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3BFE5F7A">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2D8095E8">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38A94C69">
            <w:pPr>
              <w:widowControl/>
              <w:spacing w:line="320" w:lineRule="exact"/>
              <w:jc w:val="left"/>
              <w:textAlignment w:val="center"/>
              <w:rPr>
                <w:rFonts w:ascii="宋体" w:hAnsi="宋体" w:cs="宋体"/>
                <w:color w:val="auto"/>
                <w:kern w:val="0"/>
                <w:sz w:val="24"/>
                <w:highlight w:val="none"/>
              </w:rPr>
            </w:pPr>
          </w:p>
        </w:tc>
      </w:tr>
      <w:tr w14:paraId="15B0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07926546">
            <w:pPr>
              <w:widowControl/>
              <w:spacing w:line="32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167" w:type="dxa"/>
            <w:tcMar>
              <w:top w:w="12" w:type="dxa"/>
              <w:left w:w="12" w:type="dxa"/>
              <w:right w:w="12" w:type="dxa"/>
            </w:tcMar>
            <w:vAlign w:val="center"/>
          </w:tcPr>
          <w:p w14:paraId="73DF6EDB">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48370D3D">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05FBB9C1">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181ACD4B">
            <w:pPr>
              <w:widowControl/>
              <w:spacing w:line="320" w:lineRule="exact"/>
              <w:jc w:val="left"/>
              <w:textAlignment w:val="center"/>
              <w:rPr>
                <w:rFonts w:ascii="宋体" w:hAnsi="宋体" w:cs="宋体"/>
                <w:color w:val="auto"/>
                <w:kern w:val="0"/>
                <w:sz w:val="24"/>
                <w:highlight w:val="none"/>
              </w:rPr>
            </w:pPr>
          </w:p>
        </w:tc>
      </w:tr>
      <w:tr w14:paraId="5FC5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2" w:type="dxa"/>
            <w:tcMar>
              <w:top w:w="12" w:type="dxa"/>
              <w:left w:w="12" w:type="dxa"/>
              <w:right w:w="12" w:type="dxa"/>
            </w:tcMar>
            <w:vAlign w:val="center"/>
          </w:tcPr>
          <w:p w14:paraId="68F7762C">
            <w:pPr>
              <w:widowControl/>
              <w:spacing w:line="32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167" w:type="dxa"/>
            <w:tcMar>
              <w:top w:w="12" w:type="dxa"/>
              <w:left w:w="12" w:type="dxa"/>
              <w:right w:w="12" w:type="dxa"/>
            </w:tcMar>
            <w:vAlign w:val="center"/>
          </w:tcPr>
          <w:p w14:paraId="648B6E4F">
            <w:pPr>
              <w:widowControl/>
              <w:jc w:val="left"/>
              <w:textAlignment w:val="center"/>
              <w:rPr>
                <w:rFonts w:ascii="宋体" w:hAnsi="宋体" w:cs="宋体"/>
                <w:color w:val="auto"/>
                <w:sz w:val="24"/>
                <w:highlight w:val="none"/>
              </w:rPr>
            </w:pPr>
          </w:p>
        </w:tc>
        <w:tc>
          <w:tcPr>
            <w:tcW w:w="3203" w:type="dxa"/>
            <w:tcMar>
              <w:top w:w="12" w:type="dxa"/>
              <w:left w:w="12" w:type="dxa"/>
              <w:right w:w="12" w:type="dxa"/>
            </w:tcMar>
            <w:vAlign w:val="center"/>
          </w:tcPr>
          <w:p w14:paraId="526064CA">
            <w:pPr>
              <w:widowControl/>
              <w:jc w:val="left"/>
              <w:textAlignment w:val="center"/>
              <w:rPr>
                <w:rFonts w:ascii="宋体" w:hAnsi="宋体" w:cs="宋体"/>
                <w:color w:val="auto"/>
                <w:sz w:val="24"/>
                <w:highlight w:val="none"/>
              </w:rPr>
            </w:pPr>
          </w:p>
        </w:tc>
        <w:tc>
          <w:tcPr>
            <w:tcW w:w="3450" w:type="dxa"/>
            <w:tcMar>
              <w:top w:w="12" w:type="dxa"/>
              <w:left w:w="12" w:type="dxa"/>
              <w:right w:w="12" w:type="dxa"/>
            </w:tcMar>
            <w:vAlign w:val="center"/>
          </w:tcPr>
          <w:p w14:paraId="22EDBD85">
            <w:pPr>
              <w:widowControl/>
              <w:spacing w:line="320" w:lineRule="exact"/>
              <w:jc w:val="left"/>
              <w:textAlignment w:val="center"/>
              <w:rPr>
                <w:rFonts w:ascii="宋体" w:hAnsi="宋体" w:cs="宋体"/>
                <w:color w:val="auto"/>
                <w:kern w:val="0"/>
                <w:sz w:val="24"/>
                <w:highlight w:val="none"/>
              </w:rPr>
            </w:pPr>
          </w:p>
        </w:tc>
        <w:tc>
          <w:tcPr>
            <w:tcW w:w="1005" w:type="dxa"/>
            <w:tcMar>
              <w:top w:w="12" w:type="dxa"/>
              <w:left w:w="12" w:type="dxa"/>
              <w:right w:w="12" w:type="dxa"/>
            </w:tcMar>
            <w:vAlign w:val="center"/>
          </w:tcPr>
          <w:p w14:paraId="2F8DF812">
            <w:pPr>
              <w:widowControl/>
              <w:spacing w:line="320" w:lineRule="exact"/>
              <w:jc w:val="left"/>
              <w:textAlignment w:val="center"/>
              <w:rPr>
                <w:rFonts w:ascii="宋体" w:hAnsi="宋体" w:cs="宋体"/>
                <w:color w:val="auto"/>
                <w:kern w:val="0"/>
                <w:sz w:val="24"/>
                <w:highlight w:val="none"/>
              </w:rPr>
            </w:pPr>
          </w:p>
        </w:tc>
      </w:tr>
    </w:tbl>
    <w:p w14:paraId="1AAB01E6">
      <w:pPr>
        <w:widowControl/>
        <w:adjustRightInd w:val="0"/>
        <w:snapToGrid w:val="0"/>
        <w:spacing w:beforeLines="25" w:afterLines="25"/>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注：表中“</w:t>
      </w:r>
      <w:r>
        <w:rPr>
          <w:rFonts w:hint="eastAsia" w:ascii="宋体" w:hAnsi="宋体" w:cs="Arial"/>
          <w:b/>
          <w:bCs/>
          <w:color w:val="auto"/>
          <w:sz w:val="24"/>
          <w:highlight w:val="none"/>
        </w:rPr>
        <w:t>投标文件中作出的技术响应</w:t>
      </w:r>
      <w:r>
        <w:rPr>
          <w:rFonts w:hint="eastAsia" w:ascii="宋体" w:hAnsi="宋体" w:cs="宋体"/>
          <w:b/>
          <w:bCs/>
          <w:color w:val="auto"/>
          <w:sz w:val="24"/>
          <w:highlight w:val="none"/>
        </w:rPr>
        <w:t>”栏应根据所投产品填写具体内容。未填写视为负偏离。</w:t>
      </w:r>
    </w:p>
    <w:p w14:paraId="646C8D68">
      <w:pPr>
        <w:pStyle w:val="12"/>
        <w:snapToGrid w:val="0"/>
        <w:spacing w:line="480" w:lineRule="exact"/>
        <w:ind w:firstLine="480" w:firstLineChars="200"/>
        <w:rPr>
          <w:rFonts w:hAnsi="宋体" w:cs="宋体"/>
          <w:color w:val="auto"/>
          <w:sz w:val="24"/>
          <w:highlight w:val="none"/>
        </w:rPr>
      </w:pPr>
    </w:p>
    <w:p w14:paraId="78C3F8D3">
      <w:pPr>
        <w:tabs>
          <w:tab w:val="left" w:pos="2814"/>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投标人（盖章）：</w:t>
      </w:r>
      <w:r>
        <w:rPr>
          <w:rFonts w:hint="eastAsia" w:ascii="宋体" w:hAnsi="宋体" w:cs="宋体"/>
          <w:color w:val="auto"/>
          <w:sz w:val="24"/>
          <w:highlight w:val="none"/>
          <w:u w:val="single"/>
        </w:rPr>
        <w:t xml:space="preserve">               </w:t>
      </w:r>
    </w:p>
    <w:p w14:paraId="0A47CF47">
      <w:pPr>
        <w:tabs>
          <w:tab w:val="left" w:pos="2814"/>
        </w:tabs>
        <w:spacing w:line="360" w:lineRule="auto"/>
        <w:ind w:left="-357" w:leftChars="-170" w:firstLine="2568" w:firstLineChars="1070"/>
        <w:rPr>
          <w:rFonts w:ascii="宋体" w:hAnsi="宋体" w:cs="宋体"/>
          <w:color w:val="auto"/>
          <w:sz w:val="24"/>
          <w:highlight w:val="none"/>
        </w:rPr>
      </w:pPr>
    </w:p>
    <w:p w14:paraId="470502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法定代表人或其授权代表（签字或盖章）：</w:t>
      </w:r>
      <w:r>
        <w:rPr>
          <w:rFonts w:hint="eastAsia" w:ascii="宋体" w:hAnsi="宋体" w:cs="宋体"/>
          <w:color w:val="auto"/>
          <w:sz w:val="24"/>
          <w:highlight w:val="none"/>
          <w:u w:val="single"/>
        </w:rPr>
        <w:t xml:space="preserve">          </w:t>
      </w:r>
    </w:p>
    <w:p w14:paraId="7F3B192C">
      <w:pPr>
        <w:spacing w:line="360" w:lineRule="auto"/>
        <w:rPr>
          <w:rFonts w:ascii="宋体" w:hAnsi="宋体" w:cs="宋体"/>
          <w:color w:val="auto"/>
          <w:sz w:val="28"/>
          <w:szCs w:val="28"/>
          <w:highlight w:val="none"/>
        </w:rPr>
      </w:pPr>
    </w:p>
    <w:p w14:paraId="2C95B752">
      <w:pPr>
        <w:spacing w:line="360" w:lineRule="auto"/>
        <w:ind w:firstLine="480" w:firstLineChars="200"/>
        <w:rPr>
          <w:b/>
          <w:color w:val="auto"/>
          <w:sz w:val="44"/>
          <w:szCs w:val="44"/>
          <w:highlight w:val="none"/>
          <w:lang w:val="zh-CN"/>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EEF7FB7">
      <w:pPr>
        <w:widowControl/>
        <w:tabs>
          <w:tab w:val="left" w:pos="900"/>
        </w:tabs>
        <w:spacing w:line="440" w:lineRule="exact"/>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11" w:name="_Toc27975"/>
      <w:bookmarkStart w:id="212" w:name="_Toc21259"/>
      <w:bookmarkStart w:id="213" w:name="_Toc9717"/>
      <w:bookmarkStart w:id="214" w:name="_Toc29117"/>
      <w:r>
        <w:rPr>
          <w:rFonts w:hint="eastAsia" w:ascii="宋体" w:hAnsi="宋体" w:cs="宋体"/>
          <w:b/>
          <w:bCs/>
          <w:color w:val="auto"/>
          <w:sz w:val="24"/>
          <w:highlight w:val="none"/>
        </w:rPr>
        <w:t>七</w:t>
      </w:r>
      <w:r>
        <w:rPr>
          <w:rFonts w:hint="eastAsia" w:ascii="宋体" w:hAnsi="宋体" w:cs="宋体"/>
          <w:b/>
          <w:bCs/>
          <w:color w:val="auto"/>
          <w:sz w:val="28"/>
          <w:szCs w:val="28"/>
          <w:highlight w:val="none"/>
        </w:rPr>
        <w:t>、</w:t>
      </w:r>
      <w:bookmarkStart w:id="215" w:name="_Toc438714877"/>
      <w:bookmarkStart w:id="216" w:name="_Toc438714095"/>
      <w:r>
        <w:rPr>
          <w:rFonts w:hint="eastAsia" w:ascii="宋体" w:hAnsi="宋体" w:cs="宋体"/>
          <w:b/>
          <w:bCs/>
          <w:color w:val="auto"/>
          <w:sz w:val="28"/>
          <w:szCs w:val="28"/>
          <w:highlight w:val="none"/>
        </w:rPr>
        <w:t>资格证明文件</w:t>
      </w:r>
      <w:bookmarkEnd w:id="199"/>
      <w:bookmarkEnd w:id="200"/>
      <w:bookmarkEnd w:id="201"/>
      <w:bookmarkEnd w:id="202"/>
      <w:bookmarkEnd w:id="203"/>
      <w:bookmarkEnd w:id="204"/>
      <w:bookmarkEnd w:id="205"/>
      <w:bookmarkEnd w:id="206"/>
      <w:bookmarkEnd w:id="207"/>
      <w:bookmarkEnd w:id="211"/>
      <w:bookmarkEnd w:id="212"/>
      <w:bookmarkEnd w:id="213"/>
      <w:bookmarkEnd w:id="214"/>
      <w:bookmarkEnd w:id="215"/>
      <w:bookmarkEnd w:id="216"/>
    </w:p>
    <w:p w14:paraId="50C6B8A0">
      <w:pPr>
        <w:adjustRightInd w:val="0"/>
        <w:snapToGrid w:val="0"/>
        <w:spacing w:line="460" w:lineRule="exact"/>
        <w:jc w:val="center"/>
        <w:rPr>
          <w:rFonts w:ascii="宋体" w:hAnsi="宋体" w:cs="宋体"/>
          <w:b/>
          <w:bCs/>
          <w:color w:val="auto"/>
          <w:sz w:val="24"/>
          <w:highlight w:val="none"/>
        </w:rPr>
      </w:pPr>
      <w:bookmarkStart w:id="217" w:name="_Toc4332"/>
      <w:bookmarkStart w:id="218" w:name="_Toc20238"/>
      <w:bookmarkStart w:id="219" w:name="_Toc28781"/>
      <w:bookmarkStart w:id="220" w:name="_Toc4581"/>
      <w:r>
        <w:rPr>
          <w:rFonts w:hint="eastAsia" w:ascii="宋体" w:hAnsi="宋体" w:cs="宋体"/>
          <w:b/>
          <w:bCs/>
          <w:color w:val="auto"/>
          <w:sz w:val="24"/>
          <w:highlight w:val="none"/>
        </w:rPr>
        <w:t>（1）</w:t>
      </w:r>
      <w:bookmarkEnd w:id="217"/>
      <w:bookmarkEnd w:id="218"/>
      <w:bookmarkEnd w:id="219"/>
      <w:bookmarkEnd w:id="220"/>
      <w:r>
        <w:rPr>
          <w:rFonts w:hint="eastAsia" w:ascii="宋体" w:hAnsi="宋体" w:cs="宋体"/>
          <w:b/>
          <w:bCs/>
          <w:color w:val="auto"/>
          <w:sz w:val="24"/>
          <w:highlight w:val="none"/>
        </w:rPr>
        <w:t>书面声明</w:t>
      </w:r>
    </w:p>
    <w:p w14:paraId="0487950D">
      <w:pPr>
        <w:pStyle w:val="47"/>
        <w:adjustRightInd w:val="0"/>
        <w:spacing w:beforeLines="25" w:beforeAutospacing="0" w:afterLines="25" w:afterAutospacing="0" w:line="360" w:lineRule="auto"/>
        <w:ind w:firstLine="480" w:firstLineChars="200"/>
        <w:jc w:val="both"/>
        <w:rPr>
          <w:rFonts w:ascii="宋体" w:hAnsi="宋体" w:cs="宋体"/>
          <w:color w:val="auto"/>
          <w:highlight w:val="none"/>
          <w:shd w:val="clear" w:color="auto" w:fill="FFFFFF"/>
        </w:rPr>
      </w:pPr>
      <w:r>
        <w:rPr>
          <w:rFonts w:hint="eastAsia" w:ascii="宋体" w:hAnsi="宋体" w:cs="宋体"/>
          <w:color w:val="auto"/>
          <w:highlight w:val="none"/>
        </w:rPr>
        <w:t>我单位</w:t>
      </w:r>
      <w:r>
        <w:rPr>
          <w:rFonts w:hint="eastAsia" w:ascii="宋体" w:hAnsi="宋体" w:cs="宋体"/>
          <w:color w:val="auto"/>
          <w:highlight w:val="none"/>
          <w:shd w:val="clear" w:color="auto" w:fill="FFFFFF"/>
        </w:rPr>
        <w:t>参加本次采购活动具备如下条件：</w:t>
      </w:r>
      <w:r>
        <w:rPr>
          <w:rFonts w:ascii="宋体" w:hAnsi="宋体" w:cs="宋体"/>
          <w:color w:val="auto"/>
          <w:highlight w:val="none"/>
        </w:rPr>
        <w:t>1</w:t>
      </w:r>
      <w:r>
        <w:rPr>
          <w:rFonts w:hint="eastAsia" w:ascii="宋体" w:hAnsi="宋体" w:cs="宋体"/>
          <w:color w:val="auto"/>
          <w:highlight w:val="none"/>
        </w:rPr>
        <w:t>）具有良好的商业信誉和健全的财务会计制度；2）具有履行合同所必需的设备和专业技术能力；3）有依法缴纳税收和社会保障资金的良好记录；4）参加政府采购活动前三年内，在经营活动中没有重大违法记录；5）法律、行政法规规定的其他条件。</w:t>
      </w:r>
    </w:p>
    <w:p w14:paraId="0C06C9E0">
      <w:pPr>
        <w:adjustRightInd w:val="0"/>
        <w:snapToGrid w:val="0"/>
        <w:spacing w:beforeLines="25" w:afterLines="25"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特此</w:t>
      </w:r>
      <w:r>
        <w:rPr>
          <w:rFonts w:hint="eastAsia" w:ascii="宋体" w:hAnsi="宋体" w:cs="宋体"/>
          <w:color w:val="auto"/>
          <w:sz w:val="24"/>
          <w:highlight w:val="none"/>
        </w:rPr>
        <w:t>声明</w:t>
      </w:r>
      <w:r>
        <w:rPr>
          <w:rFonts w:hint="eastAsia" w:ascii="宋体" w:hAnsi="宋体" w:cs="宋体"/>
          <w:color w:val="auto"/>
          <w:sz w:val="24"/>
          <w:highlight w:val="none"/>
          <w:shd w:val="clear" w:color="auto" w:fill="FFFFFF"/>
        </w:rPr>
        <w:t>，如有虚假，贵方可取消我方投标或中标资格。</w:t>
      </w:r>
    </w:p>
    <w:p w14:paraId="69C4204E">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p>
    <w:p w14:paraId="593A520B">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投标人（盖章）：</w:t>
      </w:r>
      <w:r>
        <w:rPr>
          <w:rFonts w:hint="eastAsia" w:ascii="宋体" w:hAnsi="宋体" w:cs="宋体"/>
          <w:color w:val="auto"/>
          <w:highlight w:val="none"/>
          <w:u w:val="single"/>
        </w:rPr>
        <w:t xml:space="preserve">               </w:t>
      </w:r>
    </w:p>
    <w:p w14:paraId="38A9964D">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p>
    <w:p w14:paraId="4B9A2946">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法定代表人或其授权代表（签字或盖章）：</w:t>
      </w:r>
      <w:r>
        <w:rPr>
          <w:rFonts w:hint="eastAsia" w:ascii="宋体" w:hAnsi="宋体" w:cs="宋体"/>
          <w:color w:val="auto"/>
          <w:highlight w:val="none"/>
          <w:u w:val="single"/>
        </w:rPr>
        <w:t xml:space="preserve">          </w:t>
      </w:r>
    </w:p>
    <w:p w14:paraId="47F3CFCE">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p>
    <w:p w14:paraId="43BAB36D">
      <w:pPr>
        <w:pStyle w:val="47"/>
        <w:adjustRightInd w:val="0"/>
        <w:spacing w:beforeLines="25" w:beforeAutospacing="0" w:afterLines="25" w:afterAutospacing="0" w:line="240" w:lineRule="auto"/>
        <w:ind w:firstLine="720" w:firstLineChars="300"/>
        <w:jc w:val="both"/>
        <w:rPr>
          <w:rFonts w:ascii="宋体" w:hAnsi="宋体" w:cs="宋体"/>
          <w:color w:val="auto"/>
          <w:highlight w:val="none"/>
        </w:rPr>
      </w:pPr>
      <w:r>
        <w:rPr>
          <w:rFonts w:hint="eastAsia" w:ascii="宋体" w:hAnsi="宋体" w:cs="宋体"/>
          <w:color w:val="auto"/>
          <w:highlight w:val="none"/>
        </w:rPr>
        <w:t>时间：        年    月    日</w:t>
      </w:r>
    </w:p>
    <w:p w14:paraId="04FD9D59">
      <w:pPr>
        <w:adjustRightInd w:val="0"/>
        <w:snapToGrid w:val="0"/>
        <w:spacing w:line="460" w:lineRule="exact"/>
        <w:rPr>
          <w:rFonts w:ascii="宋体" w:hAnsi="宋体" w:cs="宋体"/>
          <w:color w:val="auto"/>
          <w:sz w:val="24"/>
          <w:highlight w:val="none"/>
        </w:rPr>
      </w:pPr>
      <w:bookmarkStart w:id="221" w:name="_Toc13404"/>
      <w:bookmarkStart w:id="222" w:name="_Toc21088"/>
      <w:bookmarkStart w:id="223" w:name="_Toc21952"/>
    </w:p>
    <w:p w14:paraId="44267E94">
      <w:pPr>
        <w:pStyle w:val="28"/>
        <w:rPr>
          <w:rFonts w:ascii="宋体" w:hAnsi="宋体" w:cs="宋体"/>
          <w:color w:val="auto"/>
          <w:sz w:val="24"/>
          <w:highlight w:val="none"/>
        </w:rPr>
      </w:pPr>
    </w:p>
    <w:p w14:paraId="1190BD85">
      <w:pPr>
        <w:rPr>
          <w:color w:val="auto"/>
          <w:highlight w:val="none"/>
        </w:rPr>
      </w:pPr>
    </w:p>
    <w:bookmarkEnd w:id="208"/>
    <w:bookmarkEnd w:id="209"/>
    <w:bookmarkEnd w:id="210"/>
    <w:bookmarkEnd w:id="221"/>
    <w:bookmarkEnd w:id="222"/>
    <w:bookmarkEnd w:id="223"/>
    <w:p w14:paraId="50E32A83">
      <w:pPr>
        <w:spacing w:line="4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七（2）、营业执照副本（提供原件彩色扫描件）；</w:t>
      </w:r>
    </w:p>
    <w:p w14:paraId="0F5CE13B">
      <w:pPr>
        <w:spacing w:line="480" w:lineRule="exact"/>
        <w:ind w:firstLine="482" w:firstLineChars="200"/>
        <w:rPr>
          <w:rFonts w:hint="eastAsia" w:ascii="宋体" w:hAnsi="宋体" w:cs="宋体"/>
          <w:b/>
          <w:color w:val="auto"/>
          <w:sz w:val="24"/>
          <w:highlight w:val="none"/>
          <w:lang w:val="en-US" w:eastAsia="zh-CN"/>
        </w:rPr>
      </w:pPr>
      <w:r>
        <w:rPr>
          <w:rFonts w:hint="eastAsia" w:hAnsi="宋体" w:cs="宋体"/>
          <w:b/>
          <w:color w:val="auto"/>
          <w:sz w:val="24"/>
          <w:highlight w:val="none"/>
        </w:rPr>
        <w:t>七（3）</w:t>
      </w:r>
      <w:r>
        <w:rPr>
          <w:rFonts w:hint="eastAsia" w:hAnsi="宋体" w:cs="宋体"/>
          <w:b/>
          <w:color w:val="auto"/>
          <w:sz w:val="24"/>
          <w:highlight w:val="none"/>
          <w:lang w:eastAsia="zh-CN"/>
        </w:rPr>
        <w:t>、</w:t>
      </w:r>
      <w:r>
        <w:rPr>
          <w:rFonts w:hint="eastAsia" w:asciiTheme="minorEastAsia" w:hAnsiTheme="minorEastAsia"/>
          <w:b/>
          <w:bCs/>
          <w:color w:val="auto"/>
          <w:sz w:val="24"/>
          <w:szCs w:val="24"/>
          <w:highlight w:val="none"/>
        </w:rPr>
        <w:t>《危险废物经营许可证》</w:t>
      </w:r>
      <w:r>
        <w:rPr>
          <w:rStyle w:val="62"/>
          <w:rFonts w:hint="eastAsia" w:ascii="宋体" w:hAnsi="宋体" w:eastAsia="宋体" w:cs="宋体"/>
          <w:b/>
          <w:bCs/>
          <w:color w:val="auto"/>
          <w:sz w:val="24"/>
          <w:szCs w:val="24"/>
          <w:highlight w:val="none"/>
          <w:lang w:val="zh-TW"/>
        </w:rPr>
        <w:t>（</w:t>
      </w:r>
      <w:r>
        <w:rPr>
          <w:rStyle w:val="62"/>
          <w:rFonts w:hint="eastAsia" w:ascii="宋体" w:hAnsi="宋体" w:eastAsia="宋体" w:cs="宋体"/>
          <w:b/>
          <w:bCs/>
          <w:color w:val="auto"/>
          <w:sz w:val="24"/>
          <w:szCs w:val="24"/>
          <w:highlight w:val="none"/>
          <w:lang w:val="zh-TW" w:eastAsia="zh-CN"/>
        </w:rPr>
        <w:t>范围包含：</w:t>
      </w:r>
      <w:r>
        <w:rPr>
          <w:rStyle w:val="62"/>
          <w:rFonts w:hint="eastAsia" w:ascii="宋体" w:hAnsi="宋体" w:eastAsia="宋体" w:cs="宋体"/>
          <w:b/>
          <w:bCs/>
          <w:color w:val="auto"/>
          <w:sz w:val="24"/>
          <w:szCs w:val="24"/>
          <w:highlight w:val="none"/>
          <w:lang w:val="zh-TW"/>
        </w:rPr>
        <w:t>HW</w:t>
      </w:r>
      <w:r>
        <w:rPr>
          <w:rStyle w:val="62"/>
          <w:rFonts w:hint="eastAsia" w:ascii="宋体" w:hAnsi="宋体" w:eastAsia="宋体" w:cs="宋体"/>
          <w:b/>
          <w:bCs/>
          <w:color w:val="auto"/>
          <w:sz w:val="24"/>
          <w:szCs w:val="24"/>
          <w:highlight w:val="none"/>
          <w:lang w:val="en-US" w:eastAsia="zh-CN"/>
        </w:rPr>
        <w:t>49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772-006-49</w:t>
      </w:r>
      <w:r>
        <w:rPr>
          <w:rStyle w:val="62"/>
          <w:rFonts w:hint="eastAsia" w:ascii="宋体" w:hAnsi="宋体" w:eastAsia="宋体" w:cs="宋体"/>
          <w:b/>
          <w:bCs/>
          <w:color w:val="auto"/>
          <w:sz w:val="24"/>
          <w:szCs w:val="24"/>
          <w:highlight w:val="none"/>
          <w:lang w:val="zh-TW"/>
        </w:rPr>
        <w:t>）</w:t>
      </w:r>
      <w:r>
        <w:rPr>
          <w:rFonts w:hint="eastAsia" w:asciiTheme="minorEastAsia" w:hAnsiTheme="minorEastAsia"/>
          <w:b/>
          <w:bCs/>
          <w:color w:val="auto"/>
          <w:sz w:val="24"/>
          <w:szCs w:val="24"/>
          <w:highlight w:val="none"/>
          <w:lang w:eastAsia="zh-CN"/>
        </w:rPr>
        <w:t>原件彩色</w:t>
      </w:r>
      <w:r>
        <w:rPr>
          <w:rFonts w:hint="eastAsia" w:ascii="宋体" w:hAnsi="宋体" w:cs="宋体"/>
          <w:b/>
          <w:bCs/>
          <w:color w:val="auto"/>
          <w:sz w:val="24"/>
          <w:szCs w:val="24"/>
          <w:highlight w:val="none"/>
          <w:lang w:val="en-US" w:eastAsia="zh-CN"/>
        </w:rPr>
        <w:t>扫描件加盖投标人公章；</w:t>
      </w:r>
    </w:p>
    <w:p w14:paraId="0B290267">
      <w:pPr>
        <w:spacing w:line="480" w:lineRule="exact"/>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highlight w:val="none"/>
        </w:rPr>
        <w:t>七（</w:t>
      </w:r>
      <w:r>
        <w:rPr>
          <w:rFonts w:hint="eastAsia" w:hAnsi="宋体" w:cs="宋体"/>
          <w:b/>
          <w:color w:val="auto"/>
          <w:sz w:val="24"/>
          <w:highlight w:val="none"/>
          <w:lang w:val="en-US" w:eastAsia="zh-CN"/>
        </w:rPr>
        <w:t>4</w:t>
      </w:r>
      <w:r>
        <w:rPr>
          <w:rFonts w:hint="eastAsia" w:hAnsi="宋体" w:cs="宋体"/>
          <w:b/>
          <w:color w:val="auto"/>
          <w:sz w:val="24"/>
          <w:highlight w:val="none"/>
        </w:rPr>
        <w:t>）</w:t>
      </w:r>
      <w:r>
        <w:rPr>
          <w:rFonts w:hint="eastAsia" w:hAnsi="宋体" w:cs="宋体"/>
          <w:b/>
          <w:color w:val="auto"/>
          <w:sz w:val="24"/>
          <w:highlight w:val="none"/>
          <w:lang w:eastAsia="zh-CN"/>
        </w:rPr>
        <w:t>、</w:t>
      </w:r>
      <w:r>
        <w:rPr>
          <w:rFonts w:hint="eastAsia" w:ascii="宋体" w:hAnsi="宋体" w:eastAsia="宋体"/>
          <w:b/>
          <w:bCs/>
          <w:color w:val="auto"/>
          <w:sz w:val="24"/>
          <w:szCs w:val="24"/>
          <w:highlight w:val="none"/>
        </w:rPr>
        <w:t>《道路危险货物运输许可证》（范围包含危险废物）</w:t>
      </w:r>
      <w:r>
        <w:rPr>
          <w:rFonts w:hint="eastAsia" w:asciiTheme="minorEastAsia" w:hAnsiTheme="minorEastAsia"/>
          <w:b/>
          <w:bCs/>
          <w:color w:val="auto"/>
          <w:sz w:val="24"/>
          <w:szCs w:val="24"/>
          <w:highlight w:val="none"/>
          <w:lang w:eastAsia="zh-CN"/>
        </w:rPr>
        <w:t>原件彩色</w:t>
      </w:r>
      <w:r>
        <w:rPr>
          <w:rFonts w:hint="eastAsia" w:ascii="宋体" w:hAnsi="宋体" w:cs="宋体"/>
          <w:b/>
          <w:bCs/>
          <w:color w:val="auto"/>
          <w:sz w:val="24"/>
          <w:szCs w:val="24"/>
          <w:highlight w:val="none"/>
          <w:lang w:val="en-US" w:eastAsia="zh-CN"/>
        </w:rPr>
        <w:t>扫描件加盖投标人公章；</w:t>
      </w:r>
      <w:r>
        <w:rPr>
          <w:rFonts w:hint="eastAsia" w:ascii="宋体" w:hAnsi="宋体" w:eastAsia="宋体"/>
          <w:b/>
          <w:bCs/>
          <w:color w:val="auto"/>
          <w:sz w:val="24"/>
          <w:szCs w:val="24"/>
          <w:highlight w:val="none"/>
        </w:rPr>
        <w:t>若投标人委托有资质的运输单位运输的</w:t>
      </w:r>
      <w:r>
        <w:rPr>
          <w:rFonts w:hint="eastAsia" w:ascii="宋体" w:hAnsi="宋体"/>
          <w:b/>
          <w:bCs/>
          <w:color w:val="auto"/>
          <w:sz w:val="24"/>
          <w:szCs w:val="24"/>
          <w:highlight w:val="none"/>
          <w:lang w:eastAsia="zh-CN"/>
        </w:rPr>
        <w:t>，</w:t>
      </w:r>
      <w:r>
        <w:rPr>
          <w:rFonts w:hint="eastAsia" w:ascii="宋体" w:hAnsi="宋体" w:eastAsia="宋体"/>
          <w:b/>
          <w:bCs/>
          <w:color w:val="auto"/>
          <w:sz w:val="24"/>
          <w:szCs w:val="24"/>
          <w:highlight w:val="none"/>
        </w:rPr>
        <w:t>需提供相应资质及运输委托协议</w:t>
      </w:r>
      <w:r>
        <w:rPr>
          <w:rFonts w:hint="eastAsia" w:ascii="宋体" w:hAnsi="宋体"/>
          <w:b/>
          <w:bCs/>
          <w:color w:val="auto"/>
          <w:sz w:val="24"/>
          <w:szCs w:val="24"/>
          <w:highlight w:val="none"/>
          <w:lang w:val="en-US" w:eastAsia="zh-CN"/>
        </w:rPr>
        <w:t>原件彩色扫描件加盖投标人公章</w:t>
      </w:r>
      <w:r>
        <w:rPr>
          <w:rFonts w:hint="eastAsia" w:ascii="宋体" w:hAnsi="宋体" w:eastAsia="宋体"/>
          <w:b/>
          <w:bCs/>
          <w:color w:val="auto"/>
          <w:sz w:val="24"/>
          <w:szCs w:val="24"/>
          <w:highlight w:val="none"/>
        </w:rPr>
        <w:t>。</w:t>
      </w:r>
    </w:p>
    <w:p w14:paraId="05F89292">
      <w:pPr>
        <w:pStyle w:val="12"/>
        <w:spacing w:line="360" w:lineRule="auto"/>
        <w:ind w:firstLine="482" w:firstLineChars="200"/>
        <w:rPr>
          <w:rFonts w:hint="eastAsia" w:hAnsi="宋体" w:eastAsia="宋体" w:cs="宋体"/>
          <w:b/>
          <w:color w:val="auto"/>
          <w:sz w:val="24"/>
          <w:highlight w:val="none"/>
          <w:lang w:eastAsia="zh-CN"/>
        </w:rPr>
      </w:pPr>
      <w:r>
        <w:rPr>
          <w:rFonts w:hint="eastAsia" w:hAnsi="宋体" w:cs="宋体"/>
          <w:b/>
          <w:color w:val="auto"/>
          <w:sz w:val="24"/>
          <w:highlight w:val="none"/>
        </w:rPr>
        <w:t>七（</w:t>
      </w:r>
      <w:r>
        <w:rPr>
          <w:rFonts w:hint="eastAsia" w:hAnsi="宋体" w:cs="宋体"/>
          <w:b/>
          <w:color w:val="auto"/>
          <w:sz w:val="24"/>
          <w:highlight w:val="none"/>
          <w:lang w:val="en-US" w:eastAsia="zh-CN"/>
        </w:rPr>
        <w:t>5</w:t>
      </w:r>
      <w:r>
        <w:rPr>
          <w:rFonts w:hint="eastAsia" w:hAnsi="宋体" w:cs="宋体"/>
          <w:b/>
          <w:color w:val="auto"/>
          <w:sz w:val="24"/>
          <w:highlight w:val="none"/>
        </w:rPr>
        <w:t>）</w:t>
      </w:r>
      <w:r>
        <w:rPr>
          <w:rFonts w:hint="eastAsia" w:hAnsi="宋体" w:cs="宋体"/>
          <w:b/>
          <w:color w:val="auto"/>
          <w:sz w:val="24"/>
          <w:highlight w:val="none"/>
          <w:lang w:eastAsia="zh-CN"/>
        </w:rPr>
        <w:t>、</w:t>
      </w:r>
      <w:r>
        <w:rPr>
          <w:rFonts w:hint="eastAsia" w:hAnsi="宋体" w:cs="宋体"/>
          <w:b/>
          <w:color w:val="auto"/>
          <w:sz w:val="24"/>
          <w:highlight w:val="none"/>
        </w:rPr>
        <w:t>信用网站查询截图（加盖单位公章）</w:t>
      </w:r>
      <w:r>
        <w:rPr>
          <w:rFonts w:hint="eastAsia" w:hAnsi="宋体" w:cs="宋体"/>
          <w:b/>
          <w:color w:val="auto"/>
          <w:sz w:val="24"/>
          <w:highlight w:val="none"/>
          <w:lang w:eastAsia="zh-CN"/>
        </w:rPr>
        <w:t>。</w:t>
      </w:r>
    </w:p>
    <w:p w14:paraId="40422AA3">
      <w:pPr>
        <w:spacing w:line="360" w:lineRule="auto"/>
        <w:ind w:firstLine="480"/>
        <w:rPr>
          <w:rFonts w:hint="eastAsia" w:ascii="宋体" w:hAnsi="宋体" w:eastAsia="宋体"/>
          <w:color w:val="auto"/>
          <w:sz w:val="24"/>
          <w:szCs w:val="24"/>
          <w:highlight w:val="none"/>
        </w:rPr>
      </w:pPr>
    </w:p>
    <w:p w14:paraId="040D546E">
      <w:pPr>
        <w:pStyle w:val="12"/>
        <w:spacing w:line="360" w:lineRule="auto"/>
        <w:ind w:firstLine="482" w:firstLineChars="200"/>
        <w:rPr>
          <w:rFonts w:hint="eastAsia" w:hAnsi="宋体" w:cs="宋体"/>
          <w:b/>
          <w:color w:val="auto"/>
          <w:sz w:val="24"/>
          <w:highlight w:val="none"/>
        </w:rPr>
      </w:pPr>
    </w:p>
    <w:p w14:paraId="0B712A70">
      <w:pPr>
        <w:spacing w:line="360" w:lineRule="exact"/>
        <w:jc w:val="center"/>
        <w:outlineLvl w:val="1"/>
        <w:rPr>
          <w:rFonts w:hint="eastAsia" w:ascii="宋体" w:hAnsi="宋体" w:cs="宋体"/>
          <w:color w:val="auto"/>
          <w:sz w:val="24"/>
          <w:highlight w:val="none"/>
        </w:rPr>
      </w:pPr>
      <w:r>
        <w:rPr>
          <w:rFonts w:hint="eastAsia" w:ascii="宋体" w:hAnsi="宋体" w:cs="宋体"/>
          <w:color w:val="auto"/>
          <w:sz w:val="24"/>
          <w:highlight w:val="none"/>
        </w:rPr>
        <w:br w:type="page"/>
      </w:r>
      <w:bookmarkStart w:id="224" w:name="_Toc6027"/>
      <w:bookmarkStart w:id="225" w:name="_Toc3409"/>
      <w:bookmarkStart w:id="226" w:name="_Toc29680"/>
      <w:bookmarkStart w:id="227" w:name="_Toc22955"/>
      <w:bookmarkStart w:id="228" w:name="_Toc32113"/>
      <w:r>
        <w:rPr>
          <w:rFonts w:hint="eastAsia" w:ascii="宋体" w:hAnsi="宋体" w:cs="宋体"/>
          <w:b/>
          <w:bCs/>
          <w:color w:val="auto"/>
          <w:sz w:val="28"/>
          <w:szCs w:val="28"/>
          <w:highlight w:val="none"/>
          <w:lang w:eastAsia="zh-CN"/>
        </w:rPr>
        <w:t>七（</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w:t>
      </w:r>
      <w:r>
        <w:rPr>
          <w:rFonts w:ascii="宋体" w:hAnsi="宋体" w:cs="宋体"/>
          <w:b/>
          <w:bCs/>
          <w:color w:val="auto"/>
          <w:sz w:val="28"/>
          <w:szCs w:val="28"/>
          <w:highlight w:val="none"/>
        </w:rPr>
        <w:t>投标保证金缴纳证明材料</w:t>
      </w:r>
    </w:p>
    <w:p w14:paraId="506B1E2C">
      <w:pPr>
        <w:spacing w:before="80" w:beforeLines="25" w:after="80" w:afterLines="25" w:line="420" w:lineRule="exact"/>
        <w:ind w:firstLine="480" w:firstLineChars="200"/>
        <w:rPr>
          <w:rFonts w:hint="eastAsia" w:ascii="宋体" w:hAnsi="宋体" w:cs="宋体"/>
          <w:bCs/>
          <w:color w:val="auto"/>
          <w:sz w:val="24"/>
          <w:highlight w:val="none"/>
        </w:rPr>
      </w:pPr>
    </w:p>
    <w:p w14:paraId="7421F94E">
      <w:pPr>
        <w:spacing w:before="80" w:beforeLines="25" w:after="80" w:afterLines="25" w:line="42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1.以现金方式缴纳的：提供投标保证金缴纳回执；</w:t>
      </w:r>
    </w:p>
    <w:p w14:paraId="6CBB922B">
      <w:pPr>
        <w:spacing w:line="360" w:lineRule="exact"/>
        <w:ind w:firstLine="480" w:firstLineChars="200"/>
        <w:jc w:val="left"/>
        <w:rPr>
          <w:rFonts w:hint="eastAsia" w:ascii="宋体" w:hAnsi="宋体" w:cs="宋体"/>
          <w:bCs/>
          <w:color w:val="auto"/>
          <w:sz w:val="24"/>
          <w:highlight w:val="none"/>
        </w:rPr>
      </w:pPr>
      <w:bookmarkStart w:id="229" w:name="_Toc16698"/>
      <w:r>
        <w:rPr>
          <w:rFonts w:hint="eastAsia" w:ascii="宋体" w:hAnsi="宋体" w:cs="宋体"/>
          <w:bCs/>
          <w:color w:val="auto"/>
          <w:sz w:val="24"/>
          <w:highlight w:val="none"/>
        </w:rPr>
        <w:t>2.以银行保函、担保机构的保函、保险机构的保单等非现金缴纳的：提供保函（保单）原件彩色扫描件；</w:t>
      </w:r>
      <w:bookmarkEnd w:id="229"/>
    </w:p>
    <w:p w14:paraId="14AE81F9">
      <w:pPr>
        <w:widowControl w:val="0"/>
        <w:numPr>
          <w:ilvl w:val="0"/>
          <w:numId w:val="0"/>
        </w:numPr>
        <w:spacing w:line="480" w:lineRule="exact"/>
        <w:ind w:leftChars="0" w:firstLine="241" w:firstLineChars="100"/>
        <w:jc w:val="both"/>
        <w:rPr>
          <w:rFonts w:hint="eastAsia" w:ascii="宋体" w:hAnsi="宋体" w:eastAsia="宋体" w:cs="宋体"/>
          <w:b/>
          <w:color w:val="auto"/>
          <w:sz w:val="24"/>
          <w:highlight w:val="none"/>
          <w:lang w:val="en-US" w:eastAsia="zh-CN"/>
        </w:rPr>
      </w:pPr>
    </w:p>
    <w:p w14:paraId="43E5E423">
      <w:pPr>
        <w:widowControl w:val="0"/>
        <w:numPr>
          <w:ilvl w:val="0"/>
          <w:numId w:val="0"/>
        </w:numPr>
        <w:spacing w:line="480" w:lineRule="exact"/>
        <w:ind w:leftChars="0" w:firstLine="2160" w:firstLineChars="900"/>
        <w:jc w:val="both"/>
        <w:rPr>
          <w:rFonts w:hint="default" w:ascii="宋体" w:hAnsi="宋体" w:eastAsia="宋体" w:cs="宋体"/>
          <w:b w:val="0"/>
          <w:bCs/>
          <w:color w:val="auto"/>
          <w:sz w:val="24"/>
          <w:highlight w:val="none"/>
          <w:lang w:val="en-US" w:eastAsia="zh-CN"/>
        </w:rPr>
      </w:pPr>
    </w:p>
    <w:p w14:paraId="4BBA3608">
      <w:pPr>
        <w:numPr>
          <w:ilvl w:val="0"/>
          <w:numId w:val="0"/>
        </w:numPr>
        <w:spacing w:line="360" w:lineRule="exact"/>
        <w:jc w:val="center"/>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注：投标时供应商须提供上述资料原件彩色扫描件，否则资格不予通过。</w:t>
      </w:r>
    </w:p>
    <w:p w14:paraId="15E0FD04">
      <w:pPr>
        <w:spacing w:line="360" w:lineRule="auto"/>
        <w:ind w:left="420" w:leftChars="200"/>
        <w:jc w:val="center"/>
        <w:outlineLvl w:val="1"/>
        <w:rPr>
          <w:rFonts w:hint="eastAsia" w:ascii="宋体" w:hAnsi="宋体" w:cs="宋体"/>
          <w:b/>
          <w:color w:val="auto"/>
          <w:sz w:val="32"/>
          <w:szCs w:val="32"/>
          <w:highlight w:val="none"/>
        </w:rPr>
      </w:pPr>
    </w:p>
    <w:p w14:paraId="2CC50ECD">
      <w:pPr>
        <w:spacing w:line="360" w:lineRule="auto"/>
        <w:ind w:left="420" w:leftChars="200"/>
        <w:jc w:val="center"/>
        <w:outlineLvl w:val="1"/>
        <w:rPr>
          <w:rFonts w:hint="eastAsia" w:ascii="宋体" w:hAnsi="宋体" w:cs="宋体"/>
          <w:b/>
          <w:color w:val="auto"/>
          <w:sz w:val="32"/>
          <w:szCs w:val="32"/>
          <w:highlight w:val="none"/>
        </w:rPr>
      </w:pPr>
    </w:p>
    <w:p w14:paraId="09E4F3EC">
      <w:pPr>
        <w:spacing w:line="360" w:lineRule="auto"/>
        <w:ind w:left="420" w:leftChars="200"/>
        <w:jc w:val="center"/>
        <w:outlineLvl w:val="1"/>
        <w:rPr>
          <w:rFonts w:hint="eastAsia" w:ascii="宋体" w:hAnsi="宋体" w:cs="宋体"/>
          <w:b/>
          <w:color w:val="auto"/>
          <w:sz w:val="32"/>
          <w:szCs w:val="32"/>
          <w:highlight w:val="none"/>
        </w:rPr>
      </w:pPr>
    </w:p>
    <w:p w14:paraId="4F51948F">
      <w:pPr>
        <w:spacing w:line="360" w:lineRule="auto"/>
        <w:ind w:left="420" w:leftChars="200"/>
        <w:jc w:val="center"/>
        <w:outlineLvl w:val="1"/>
        <w:rPr>
          <w:rFonts w:hint="eastAsia" w:ascii="宋体" w:hAnsi="宋体" w:cs="宋体"/>
          <w:b/>
          <w:color w:val="auto"/>
          <w:sz w:val="32"/>
          <w:szCs w:val="32"/>
          <w:highlight w:val="none"/>
        </w:rPr>
      </w:pPr>
    </w:p>
    <w:p w14:paraId="5F90542D">
      <w:pPr>
        <w:spacing w:line="360" w:lineRule="auto"/>
        <w:ind w:left="420" w:leftChars="200"/>
        <w:jc w:val="center"/>
        <w:outlineLvl w:val="1"/>
        <w:rPr>
          <w:rFonts w:hint="eastAsia" w:ascii="宋体" w:hAnsi="宋体" w:cs="宋体"/>
          <w:b/>
          <w:color w:val="auto"/>
          <w:sz w:val="32"/>
          <w:szCs w:val="32"/>
          <w:highlight w:val="none"/>
        </w:rPr>
      </w:pPr>
    </w:p>
    <w:p w14:paraId="7FDFDA1E">
      <w:pPr>
        <w:spacing w:line="360" w:lineRule="auto"/>
        <w:ind w:left="420" w:leftChars="200"/>
        <w:jc w:val="center"/>
        <w:outlineLvl w:val="1"/>
        <w:rPr>
          <w:rFonts w:hint="eastAsia" w:ascii="宋体" w:hAnsi="宋体" w:cs="宋体"/>
          <w:b/>
          <w:color w:val="auto"/>
          <w:sz w:val="32"/>
          <w:szCs w:val="32"/>
          <w:highlight w:val="none"/>
        </w:rPr>
      </w:pPr>
    </w:p>
    <w:p w14:paraId="76A9309E">
      <w:pPr>
        <w:spacing w:line="360" w:lineRule="auto"/>
        <w:ind w:left="420" w:leftChars="200"/>
        <w:jc w:val="center"/>
        <w:outlineLvl w:val="1"/>
        <w:rPr>
          <w:rFonts w:hint="eastAsia" w:ascii="宋体" w:hAnsi="宋体" w:cs="宋体"/>
          <w:b/>
          <w:color w:val="auto"/>
          <w:sz w:val="32"/>
          <w:szCs w:val="32"/>
          <w:highlight w:val="none"/>
        </w:rPr>
      </w:pPr>
    </w:p>
    <w:p w14:paraId="547A3AB2">
      <w:pPr>
        <w:spacing w:line="360" w:lineRule="auto"/>
        <w:ind w:left="420" w:leftChars="200"/>
        <w:jc w:val="center"/>
        <w:outlineLvl w:val="1"/>
        <w:rPr>
          <w:rFonts w:hint="eastAsia" w:ascii="宋体" w:hAnsi="宋体" w:cs="宋体"/>
          <w:b/>
          <w:color w:val="auto"/>
          <w:sz w:val="32"/>
          <w:szCs w:val="32"/>
          <w:highlight w:val="none"/>
        </w:rPr>
      </w:pPr>
    </w:p>
    <w:p w14:paraId="1500E906">
      <w:pPr>
        <w:spacing w:line="360" w:lineRule="auto"/>
        <w:ind w:left="420" w:leftChars="200"/>
        <w:jc w:val="center"/>
        <w:outlineLvl w:val="1"/>
        <w:rPr>
          <w:rFonts w:hint="eastAsia" w:ascii="宋体" w:hAnsi="宋体" w:cs="宋体"/>
          <w:b/>
          <w:color w:val="auto"/>
          <w:sz w:val="32"/>
          <w:szCs w:val="32"/>
          <w:highlight w:val="none"/>
        </w:rPr>
      </w:pPr>
    </w:p>
    <w:p w14:paraId="7AC8B144">
      <w:pPr>
        <w:spacing w:line="360" w:lineRule="auto"/>
        <w:ind w:left="420" w:leftChars="200"/>
        <w:jc w:val="center"/>
        <w:outlineLvl w:val="1"/>
        <w:rPr>
          <w:rFonts w:hint="eastAsia" w:ascii="宋体" w:hAnsi="宋体" w:cs="宋体"/>
          <w:b/>
          <w:color w:val="auto"/>
          <w:sz w:val="32"/>
          <w:szCs w:val="32"/>
          <w:highlight w:val="none"/>
        </w:rPr>
      </w:pPr>
    </w:p>
    <w:p w14:paraId="398FE2B4">
      <w:pPr>
        <w:spacing w:line="360" w:lineRule="auto"/>
        <w:ind w:left="420" w:leftChars="200"/>
        <w:jc w:val="center"/>
        <w:outlineLvl w:val="1"/>
        <w:rPr>
          <w:rFonts w:hint="eastAsia" w:ascii="宋体" w:hAnsi="宋体" w:cs="宋体"/>
          <w:b/>
          <w:color w:val="auto"/>
          <w:sz w:val="32"/>
          <w:szCs w:val="32"/>
          <w:highlight w:val="none"/>
        </w:rPr>
      </w:pPr>
    </w:p>
    <w:p w14:paraId="52CE7AAC">
      <w:pPr>
        <w:spacing w:line="360" w:lineRule="auto"/>
        <w:ind w:left="420" w:leftChars="200"/>
        <w:jc w:val="center"/>
        <w:outlineLvl w:val="1"/>
        <w:rPr>
          <w:rFonts w:hint="eastAsia" w:ascii="宋体" w:hAnsi="宋体" w:cs="宋体"/>
          <w:b/>
          <w:color w:val="auto"/>
          <w:sz w:val="32"/>
          <w:szCs w:val="32"/>
          <w:highlight w:val="none"/>
        </w:rPr>
      </w:pPr>
    </w:p>
    <w:p w14:paraId="51EB9222">
      <w:pPr>
        <w:spacing w:line="360" w:lineRule="auto"/>
        <w:ind w:left="420" w:leftChars="200"/>
        <w:jc w:val="center"/>
        <w:outlineLvl w:val="1"/>
        <w:rPr>
          <w:rFonts w:hint="eastAsia" w:ascii="宋体" w:hAnsi="宋体" w:cs="宋体"/>
          <w:b/>
          <w:color w:val="auto"/>
          <w:sz w:val="32"/>
          <w:szCs w:val="32"/>
          <w:highlight w:val="none"/>
        </w:rPr>
      </w:pPr>
    </w:p>
    <w:p w14:paraId="2D484FC8">
      <w:pPr>
        <w:spacing w:line="360" w:lineRule="auto"/>
        <w:ind w:left="420" w:leftChars="200"/>
        <w:jc w:val="center"/>
        <w:outlineLvl w:val="1"/>
        <w:rPr>
          <w:rFonts w:hint="eastAsia" w:ascii="宋体" w:hAnsi="宋体" w:cs="宋体"/>
          <w:b/>
          <w:color w:val="auto"/>
          <w:sz w:val="32"/>
          <w:szCs w:val="32"/>
          <w:highlight w:val="none"/>
        </w:rPr>
      </w:pPr>
    </w:p>
    <w:p w14:paraId="6EED129E">
      <w:pPr>
        <w:spacing w:line="360" w:lineRule="auto"/>
        <w:ind w:left="420" w:leftChars="200"/>
        <w:jc w:val="center"/>
        <w:outlineLvl w:val="1"/>
        <w:rPr>
          <w:rFonts w:hint="eastAsia" w:ascii="宋体" w:hAnsi="宋体" w:cs="宋体"/>
          <w:b/>
          <w:color w:val="auto"/>
          <w:sz w:val="32"/>
          <w:szCs w:val="32"/>
          <w:highlight w:val="none"/>
        </w:rPr>
      </w:pPr>
    </w:p>
    <w:p w14:paraId="29FA50E7">
      <w:pPr>
        <w:spacing w:line="360" w:lineRule="auto"/>
        <w:ind w:left="420" w:leftChars="200"/>
        <w:jc w:val="center"/>
        <w:outlineLvl w:val="1"/>
        <w:rPr>
          <w:rFonts w:hint="eastAsia" w:ascii="宋体" w:hAnsi="宋体" w:cs="宋体"/>
          <w:b/>
          <w:color w:val="auto"/>
          <w:sz w:val="32"/>
          <w:szCs w:val="32"/>
          <w:highlight w:val="none"/>
        </w:rPr>
      </w:pPr>
    </w:p>
    <w:p w14:paraId="4C643F9B">
      <w:pPr>
        <w:spacing w:line="360" w:lineRule="auto"/>
        <w:ind w:left="420" w:leftChars="200"/>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八、方案</w:t>
      </w:r>
      <w:bookmarkEnd w:id="224"/>
      <w:r>
        <w:rPr>
          <w:rFonts w:hint="eastAsia" w:ascii="宋体" w:hAnsi="宋体" w:cs="宋体"/>
          <w:b/>
          <w:color w:val="auto"/>
          <w:sz w:val="32"/>
          <w:szCs w:val="32"/>
          <w:highlight w:val="none"/>
        </w:rPr>
        <w:t>（如有）</w:t>
      </w:r>
    </w:p>
    <w:p w14:paraId="06C4EC02">
      <w:pPr>
        <w:widowControl/>
        <w:spacing w:line="420" w:lineRule="exact"/>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4C4BA45E">
      <w:pPr>
        <w:widowControl/>
        <w:spacing w:line="420" w:lineRule="exact"/>
        <w:ind w:firstLine="480" w:firstLineChars="200"/>
        <w:jc w:val="center"/>
        <w:rPr>
          <w:rFonts w:ascii="宋体" w:hAnsi="宋体" w:cs="宋体"/>
          <w:color w:val="auto"/>
          <w:sz w:val="24"/>
          <w:highlight w:val="none"/>
        </w:rPr>
      </w:pPr>
    </w:p>
    <w:bookmarkEnd w:id="225"/>
    <w:bookmarkEnd w:id="226"/>
    <w:bookmarkEnd w:id="227"/>
    <w:bookmarkEnd w:id="228"/>
    <w:p w14:paraId="39B18913">
      <w:pPr>
        <w:spacing w:beforeLines="25" w:afterLines="25"/>
        <w:ind w:left="420" w:leftChars="200"/>
        <w:jc w:val="center"/>
        <w:rPr>
          <w:rFonts w:ascii="宋体" w:hAnsi="宋体" w:cs="宋体"/>
          <w:b/>
          <w:bCs/>
          <w:color w:val="auto"/>
          <w:sz w:val="28"/>
          <w:szCs w:val="28"/>
          <w:highlight w:val="none"/>
        </w:rPr>
      </w:pPr>
    </w:p>
    <w:p w14:paraId="38ED66D7">
      <w:pPr>
        <w:spacing w:line="360" w:lineRule="exact"/>
        <w:ind w:firstLine="562" w:firstLineChars="200"/>
        <w:jc w:val="center"/>
        <w:rPr>
          <w:rFonts w:ascii="宋体" w:hAnsi="宋体" w:cs="宋体"/>
          <w:b/>
          <w:bCs/>
          <w:color w:val="auto"/>
          <w:sz w:val="28"/>
          <w:szCs w:val="28"/>
          <w:highlight w:val="none"/>
        </w:rPr>
      </w:pPr>
    </w:p>
    <w:p w14:paraId="59A587B9">
      <w:pPr>
        <w:spacing w:line="360" w:lineRule="exact"/>
        <w:ind w:firstLine="562" w:firstLineChars="200"/>
        <w:jc w:val="center"/>
        <w:rPr>
          <w:rFonts w:ascii="宋体" w:hAnsi="宋体" w:cs="宋体"/>
          <w:b/>
          <w:bCs/>
          <w:color w:val="auto"/>
          <w:sz w:val="28"/>
          <w:szCs w:val="28"/>
          <w:highlight w:val="none"/>
        </w:rPr>
      </w:pPr>
    </w:p>
    <w:p w14:paraId="42BDA7A0">
      <w:pPr>
        <w:pStyle w:val="38"/>
        <w:rPr>
          <w:rFonts w:eastAsia="宋体"/>
          <w:b/>
          <w:bCs/>
          <w:color w:val="auto"/>
          <w:sz w:val="28"/>
          <w:szCs w:val="28"/>
          <w:highlight w:val="none"/>
        </w:rPr>
      </w:pPr>
    </w:p>
    <w:p w14:paraId="5CDA99FD">
      <w:pPr>
        <w:pStyle w:val="38"/>
        <w:rPr>
          <w:rFonts w:eastAsia="宋体"/>
          <w:b/>
          <w:bCs/>
          <w:color w:val="auto"/>
          <w:sz w:val="28"/>
          <w:szCs w:val="28"/>
          <w:highlight w:val="none"/>
        </w:rPr>
      </w:pPr>
    </w:p>
    <w:p w14:paraId="5A57331E">
      <w:pPr>
        <w:pStyle w:val="38"/>
        <w:rPr>
          <w:rFonts w:eastAsia="宋体"/>
          <w:b/>
          <w:bCs/>
          <w:color w:val="auto"/>
          <w:sz w:val="28"/>
          <w:szCs w:val="28"/>
          <w:highlight w:val="none"/>
        </w:rPr>
      </w:pPr>
    </w:p>
    <w:p w14:paraId="611FF405">
      <w:pPr>
        <w:pStyle w:val="38"/>
        <w:rPr>
          <w:rFonts w:eastAsia="宋体"/>
          <w:b/>
          <w:bCs/>
          <w:color w:val="auto"/>
          <w:sz w:val="28"/>
          <w:szCs w:val="28"/>
          <w:highlight w:val="none"/>
        </w:rPr>
      </w:pPr>
    </w:p>
    <w:p w14:paraId="31B9F002">
      <w:pPr>
        <w:spacing w:line="560" w:lineRule="exact"/>
        <w:jc w:val="center"/>
        <w:rPr>
          <w:rFonts w:ascii="宋体" w:hAnsi="宋体" w:cs="宋体"/>
          <w:b/>
          <w:color w:val="auto"/>
          <w:sz w:val="28"/>
          <w:szCs w:val="28"/>
          <w:highlight w:val="none"/>
        </w:rPr>
      </w:pPr>
    </w:p>
    <w:p w14:paraId="4FBB467E">
      <w:pPr>
        <w:pStyle w:val="38"/>
        <w:rPr>
          <w:rFonts w:eastAsia="宋体"/>
          <w:b/>
          <w:color w:val="auto"/>
          <w:sz w:val="28"/>
          <w:szCs w:val="28"/>
          <w:highlight w:val="none"/>
        </w:rPr>
      </w:pPr>
    </w:p>
    <w:p w14:paraId="0912857C">
      <w:pPr>
        <w:pStyle w:val="38"/>
        <w:rPr>
          <w:rFonts w:eastAsia="宋体"/>
          <w:b/>
          <w:color w:val="auto"/>
          <w:sz w:val="28"/>
          <w:szCs w:val="28"/>
          <w:highlight w:val="none"/>
        </w:rPr>
      </w:pPr>
    </w:p>
    <w:p w14:paraId="3EDEA862">
      <w:pPr>
        <w:pStyle w:val="38"/>
        <w:rPr>
          <w:rFonts w:eastAsia="宋体"/>
          <w:b/>
          <w:color w:val="auto"/>
          <w:sz w:val="28"/>
          <w:szCs w:val="28"/>
          <w:highlight w:val="none"/>
        </w:rPr>
      </w:pPr>
    </w:p>
    <w:p w14:paraId="4E4D6782">
      <w:pPr>
        <w:pStyle w:val="38"/>
        <w:rPr>
          <w:rFonts w:eastAsia="宋体"/>
          <w:b/>
          <w:color w:val="auto"/>
          <w:sz w:val="28"/>
          <w:szCs w:val="28"/>
          <w:highlight w:val="none"/>
        </w:rPr>
      </w:pPr>
    </w:p>
    <w:p w14:paraId="49EB1FA5">
      <w:pPr>
        <w:pStyle w:val="38"/>
        <w:rPr>
          <w:rFonts w:eastAsia="宋体"/>
          <w:b/>
          <w:color w:val="auto"/>
          <w:sz w:val="28"/>
          <w:szCs w:val="28"/>
          <w:highlight w:val="none"/>
        </w:rPr>
      </w:pPr>
    </w:p>
    <w:p w14:paraId="7C3364AF">
      <w:pPr>
        <w:pStyle w:val="38"/>
        <w:rPr>
          <w:rFonts w:eastAsia="宋体"/>
          <w:b/>
          <w:color w:val="auto"/>
          <w:sz w:val="28"/>
          <w:szCs w:val="28"/>
          <w:highlight w:val="none"/>
        </w:rPr>
      </w:pPr>
    </w:p>
    <w:p w14:paraId="1B91E52D">
      <w:pPr>
        <w:tabs>
          <w:tab w:val="center" w:pos="4621"/>
          <w:tab w:val="left" w:pos="6135"/>
        </w:tabs>
        <w:spacing w:line="360" w:lineRule="auto"/>
        <w:jc w:val="center"/>
        <w:outlineLvl w:val="1"/>
        <w:rPr>
          <w:rFonts w:ascii="宋体" w:hAnsi="宋体" w:cs="宋体"/>
          <w:b/>
          <w:bCs/>
          <w:color w:val="auto"/>
          <w:sz w:val="28"/>
          <w:szCs w:val="28"/>
          <w:highlight w:val="none"/>
        </w:rPr>
      </w:pPr>
      <w:bookmarkStart w:id="230" w:name="_Toc26114"/>
      <w:bookmarkStart w:id="231" w:name="_Toc7746"/>
      <w:bookmarkStart w:id="232" w:name="_Toc13420"/>
      <w:bookmarkStart w:id="233" w:name="_Toc27652"/>
    </w:p>
    <w:p w14:paraId="054D1239">
      <w:pPr>
        <w:tabs>
          <w:tab w:val="center" w:pos="4621"/>
          <w:tab w:val="left" w:pos="6135"/>
        </w:tabs>
        <w:spacing w:line="360" w:lineRule="auto"/>
        <w:jc w:val="center"/>
        <w:outlineLvl w:val="1"/>
        <w:rPr>
          <w:rFonts w:ascii="宋体" w:hAnsi="宋体" w:cs="宋体"/>
          <w:b/>
          <w:bCs/>
          <w:color w:val="auto"/>
          <w:sz w:val="28"/>
          <w:szCs w:val="28"/>
          <w:highlight w:val="none"/>
        </w:rPr>
      </w:pPr>
    </w:p>
    <w:p w14:paraId="7B16E2F6">
      <w:pPr>
        <w:tabs>
          <w:tab w:val="center" w:pos="4621"/>
          <w:tab w:val="left" w:pos="6135"/>
        </w:tabs>
        <w:spacing w:line="360" w:lineRule="auto"/>
        <w:jc w:val="center"/>
        <w:outlineLvl w:val="1"/>
        <w:rPr>
          <w:rFonts w:ascii="宋体" w:hAnsi="宋体" w:cs="宋体"/>
          <w:b/>
          <w:bCs/>
          <w:color w:val="auto"/>
          <w:sz w:val="28"/>
          <w:szCs w:val="28"/>
          <w:highlight w:val="none"/>
        </w:rPr>
      </w:pPr>
    </w:p>
    <w:p w14:paraId="4F83DC45">
      <w:pPr>
        <w:tabs>
          <w:tab w:val="center" w:pos="4621"/>
          <w:tab w:val="left" w:pos="6135"/>
        </w:tabs>
        <w:spacing w:line="360" w:lineRule="auto"/>
        <w:jc w:val="center"/>
        <w:outlineLvl w:val="1"/>
        <w:rPr>
          <w:rFonts w:ascii="宋体" w:hAnsi="宋体" w:cs="宋体"/>
          <w:b/>
          <w:bCs/>
          <w:color w:val="auto"/>
          <w:sz w:val="28"/>
          <w:szCs w:val="28"/>
          <w:highlight w:val="none"/>
        </w:rPr>
      </w:pPr>
    </w:p>
    <w:p w14:paraId="2A696C38">
      <w:pPr>
        <w:tabs>
          <w:tab w:val="center" w:pos="4621"/>
          <w:tab w:val="left" w:pos="6135"/>
        </w:tabs>
        <w:spacing w:line="360" w:lineRule="auto"/>
        <w:jc w:val="center"/>
        <w:outlineLvl w:val="1"/>
        <w:rPr>
          <w:rFonts w:ascii="宋体" w:hAnsi="宋体" w:cs="宋体"/>
          <w:b/>
          <w:bCs/>
          <w:color w:val="auto"/>
          <w:sz w:val="28"/>
          <w:szCs w:val="28"/>
          <w:highlight w:val="none"/>
        </w:rPr>
      </w:pPr>
    </w:p>
    <w:p w14:paraId="12938E6B">
      <w:pPr>
        <w:tabs>
          <w:tab w:val="center" w:pos="4621"/>
          <w:tab w:val="left" w:pos="6135"/>
        </w:tabs>
        <w:spacing w:line="360" w:lineRule="auto"/>
        <w:jc w:val="center"/>
        <w:outlineLvl w:val="1"/>
        <w:rPr>
          <w:rFonts w:ascii="宋体" w:hAnsi="宋体" w:cs="宋体"/>
          <w:b/>
          <w:bCs/>
          <w:color w:val="auto"/>
          <w:sz w:val="28"/>
          <w:szCs w:val="28"/>
          <w:highlight w:val="none"/>
        </w:rPr>
      </w:pPr>
    </w:p>
    <w:p w14:paraId="349874F5">
      <w:pPr>
        <w:tabs>
          <w:tab w:val="center" w:pos="4621"/>
          <w:tab w:val="left" w:pos="6135"/>
        </w:tabs>
        <w:spacing w:line="360" w:lineRule="auto"/>
        <w:jc w:val="center"/>
        <w:outlineLvl w:val="1"/>
        <w:rPr>
          <w:rFonts w:ascii="宋体" w:hAnsi="宋体" w:cs="宋体"/>
          <w:b/>
          <w:bCs/>
          <w:color w:val="auto"/>
          <w:sz w:val="28"/>
          <w:szCs w:val="28"/>
          <w:highlight w:val="none"/>
        </w:rPr>
      </w:pPr>
      <w:bookmarkStart w:id="234" w:name="_Toc603"/>
      <w:r>
        <w:rPr>
          <w:rFonts w:hint="eastAsia" w:ascii="宋体" w:hAnsi="宋体" w:cs="宋体"/>
          <w:b/>
          <w:bCs/>
          <w:color w:val="auto"/>
          <w:sz w:val="28"/>
          <w:szCs w:val="28"/>
          <w:highlight w:val="none"/>
        </w:rPr>
        <w:t>九、采购事前信用承诺书</w:t>
      </w:r>
      <w:bookmarkEnd w:id="230"/>
      <w:bookmarkEnd w:id="231"/>
      <w:bookmarkEnd w:id="232"/>
      <w:bookmarkEnd w:id="233"/>
      <w:bookmarkEnd w:id="234"/>
    </w:p>
    <w:p w14:paraId="522A195F">
      <w:pPr>
        <w:widowControl/>
        <w:spacing w:line="420" w:lineRule="exact"/>
        <w:ind w:firstLine="560" w:firstLineChars="200"/>
        <w:rPr>
          <w:rFonts w:ascii="宋体" w:hAnsi="宋体" w:cs="宋体"/>
          <w:color w:val="auto"/>
          <w:sz w:val="28"/>
          <w:szCs w:val="28"/>
          <w:highlight w:val="none"/>
        </w:rPr>
      </w:pPr>
    </w:p>
    <w:p w14:paraId="2EF1BD58">
      <w:pPr>
        <w:widowControl/>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为营造公开、公平、公正、诚实守信的采购交易环境，树立诚信守法的投标人形象，本人代表本单位作出以下承诺：</w:t>
      </w:r>
    </w:p>
    <w:p w14:paraId="40ABB143">
      <w:pPr>
        <w:widowControl/>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7DC974C0">
      <w:pPr>
        <w:widowControl/>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（二）本单位无涉及违法、违规不良记录，本单位及相关负责人无因存在重大隐患整改不力、发生有重大社会影响生产安全事故或其他严重违法违规行为而被列入失信联合惩戒的不良记录；</w:t>
      </w:r>
    </w:p>
    <w:p w14:paraId="66E32154">
      <w:pPr>
        <w:widowControl/>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（三）严格依照国家和省、市、县的法律、法规、规章、规范性文件参加本次采购投标活动，积极履行社会责任，促进廉政建设；</w:t>
      </w:r>
    </w:p>
    <w:p w14:paraId="0F9EF53D">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四）自我约束、自我管理，守合同、重信用，自觉维护采购交易的良好秩序，与参与本次采购活动的其他供应商不存在直接控股或管理关系，不参与围标串标、弄虚作假、骗取中标、干扰评标、违约毁约等行为；</w:t>
      </w:r>
    </w:p>
    <w:p w14:paraId="5E47482C">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（五）自觉接受政府、行业组织、社会公众、新闻舆论的监督；</w:t>
      </w:r>
    </w:p>
    <w:p w14:paraId="33FAC808">
      <w:pPr>
        <w:widowControl/>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（六）本单位自愿接受采购监督管理机构和有关行政监督部门的依法检查。如发生违法违规或不良失信行为，自愿接受采购监管机构和有关行政监督部门依法给予的行政处罚（处理），并依法承担相应责任；</w:t>
      </w:r>
    </w:p>
    <w:p w14:paraId="21C3C63B">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（七）本人已认真阅读上述承诺，并向本单位员工作了宣传教育。</w:t>
      </w:r>
    </w:p>
    <w:p w14:paraId="7DCC8FF4">
      <w:pPr>
        <w:widowControl/>
        <w:spacing w:line="420" w:lineRule="exact"/>
        <w:rPr>
          <w:rFonts w:ascii="宋体" w:hAnsi="宋体" w:cs="宋体"/>
          <w:color w:val="auto"/>
          <w:sz w:val="24"/>
          <w:highlight w:val="none"/>
        </w:rPr>
      </w:pPr>
    </w:p>
    <w:p w14:paraId="15414EE8">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xml:space="preserve">                               法定代表人签字：</w:t>
      </w:r>
    </w:p>
    <w:p w14:paraId="44A8BC30">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0679EBB0">
      <w:pPr>
        <w:widowControl/>
        <w:spacing w:line="42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26C0ABF6">
      <w:pPr>
        <w:widowControl/>
        <w:spacing w:line="420" w:lineRule="exact"/>
        <w:ind w:firstLine="5280" w:firstLineChars="2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5DA9DD9E">
      <w:pPr>
        <w:pStyle w:val="38"/>
        <w:jc w:val="center"/>
        <w:outlineLvl w:val="1"/>
        <w:rPr>
          <w:rFonts w:eastAsia="宋体"/>
          <w:color w:val="auto"/>
          <w:highlight w:val="none"/>
        </w:rPr>
      </w:pPr>
      <w:r>
        <w:rPr>
          <w:rFonts w:hint="eastAsia" w:eastAsia="宋体"/>
          <w:color w:val="auto"/>
          <w:highlight w:val="none"/>
        </w:rPr>
        <w:br w:type="page"/>
      </w:r>
      <w:bookmarkStart w:id="235" w:name="_Toc10494"/>
      <w:bookmarkStart w:id="236" w:name="_Toc19902"/>
      <w:bookmarkStart w:id="237" w:name="_Toc24170"/>
      <w:bookmarkStart w:id="238" w:name="_Toc15308"/>
      <w:bookmarkStart w:id="239" w:name="_Toc6410"/>
    </w:p>
    <w:p w14:paraId="195E9807">
      <w:pPr>
        <w:pStyle w:val="38"/>
        <w:jc w:val="center"/>
        <w:outlineLvl w:val="1"/>
        <w:rPr>
          <w:rFonts w:eastAsia="宋体"/>
          <w:b/>
          <w:bCs/>
          <w:color w:val="auto"/>
          <w:kern w:val="2"/>
          <w:sz w:val="28"/>
          <w:szCs w:val="28"/>
          <w:highlight w:val="none"/>
        </w:rPr>
      </w:pPr>
      <w:bookmarkStart w:id="240" w:name="_Toc22131"/>
      <w:r>
        <w:rPr>
          <w:rFonts w:hint="eastAsia" w:eastAsia="宋体"/>
          <w:b/>
          <w:bCs/>
          <w:color w:val="auto"/>
          <w:kern w:val="2"/>
          <w:sz w:val="28"/>
          <w:szCs w:val="28"/>
          <w:highlight w:val="none"/>
        </w:rPr>
        <w:t>十、招标文件规定或投标人认为有必要提供的其他文件</w:t>
      </w:r>
      <w:bookmarkEnd w:id="235"/>
      <w:bookmarkEnd w:id="236"/>
      <w:bookmarkEnd w:id="237"/>
      <w:bookmarkEnd w:id="238"/>
      <w:bookmarkEnd w:id="239"/>
      <w:bookmarkEnd w:id="240"/>
    </w:p>
    <w:p w14:paraId="47054414">
      <w:pPr>
        <w:pStyle w:val="38"/>
        <w:jc w:val="center"/>
        <w:outlineLvl w:val="1"/>
        <w:rPr>
          <w:rFonts w:eastAsia="宋体"/>
          <w:b/>
          <w:bCs/>
          <w:color w:val="auto"/>
          <w:kern w:val="2"/>
          <w:sz w:val="28"/>
          <w:szCs w:val="28"/>
          <w:highlight w:val="none"/>
        </w:rPr>
      </w:pPr>
    </w:p>
    <w:p w14:paraId="2F54CE4B">
      <w:pPr>
        <w:pStyle w:val="38"/>
        <w:jc w:val="center"/>
        <w:outlineLvl w:val="1"/>
        <w:rPr>
          <w:rFonts w:eastAsia="宋体"/>
          <w:b/>
          <w:bCs/>
          <w:color w:val="auto"/>
          <w:kern w:val="2"/>
          <w:sz w:val="28"/>
          <w:szCs w:val="28"/>
          <w:highlight w:val="none"/>
        </w:rPr>
      </w:pPr>
    </w:p>
    <w:p w14:paraId="6FE62E65">
      <w:pPr>
        <w:pStyle w:val="38"/>
        <w:jc w:val="both"/>
        <w:outlineLvl w:val="1"/>
        <w:rPr>
          <w:rFonts w:eastAsia="宋体"/>
          <w:b/>
          <w:bCs/>
          <w:color w:val="auto"/>
          <w:kern w:val="2"/>
          <w:sz w:val="28"/>
          <w:szCs w:val="28"/>
          <w:highlight w:val="none"/>
        </w:rPr>
      </w:pPr>
    </w:p>
    <w:p w14:paraId="5CCF8139">
      <w:pPr>
        <w:pStyle w:val="38"/>
        <w:jc w:val="both"/>
        <w:outlineLvl w:val="1"/>
        <w:rPr>
          <w:rFonts w:eastAsia="宋体"/>
          <w:b/>
          <w:bCs/>
          <w:color w:val="auto"/>
          <w:kern w:val="2"/>
          <w:sz w:val="28"/>
          <w:szCs w:val="28"/>
          <w:highlight w:val="none"/>
        </w:rPr>
      </w:pPr>
    </w:p>
    <w:sectPr>
      <w:pgSz w:w="11906" w:h="16838"/>
      <w:pgMar w:top="1440" w:right="1440" w:bottom="1440" w:left="1440" w:header="851" w:footer="686" w:gutter="0"/>
      <w:pgNumType w:fmt="decimal"/>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AE4C0A-3397-4D14-BFA8-001FBD93F820}"/>
  </w:font>
  <w:font w:name="黑体">
    <w:panose1 w:val="02010609060101010101"/>
    <w:charset w:val="86"/>
    <w:family w:val="auto"/>
    <w:pitch w:val="default"/>
    <w:sig w:usb0="800002BF" w:usb1="38CF7CFA" w:usb2="00000016" w:usb3="00000000" w:csb0="00040001" w:csb1="00000000"/>
    <w:embedRegular r:id="rId2" w:fontKey="{EDC21531-2BA1-4B8B-98E4-246C82B26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297A68A-276A-4CF5-AD84-57C851D9221B}"/>
  </w:font>
  <w:font w:name="方正大黑简体">
    <w:panose1 w:val="02000000000000000000"/>
    <w:charset w:val="86"/>
    <w:family w:val="script"/>
    <w:pitch w:val="default"/>
    <w:sig w:usb0="A00002BF" w:usb1="184F6CFA" w:usb2="00000012" w:usb3="00000000" w:csb0="00040001" w:csb1="00000000"/>
    <w:embedRegular r:id="rId4" w:fontKey="{48EE764F-BC73-4AE8-A30C-76508967EA1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9C0DDE92-1C7D-4154-A8DD-CC770DFA2AEE}"/>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embedRegular r:id="rId6" w:fontKey="{397E660F-8626-49CC-B6EA-0B3343B357DA}"/>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797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24D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2988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82988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F204">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0E827">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B0E827">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4BF9">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B2C1A"/>
    <w:multiLevelType w:val="singleLevel"/>
    <w:tmpl w:val="9E4B2C1A"/>
    <w:lvl w:ilvl="0" w:tentative="0">
      <w:start w:val="5"/>
      <w:numFmt w:val="chineseCounting"/>
      <w:suff w:val="nothing"/>
      <w:lvlText w:val="%1、"/>
      <w:lvlJc w:val="left"/>
      <w:rPr>
        <w:rFonts w:hint="eastAsia"/>
      </w:rPr>
    </w:lvl>
  </w:abstractNum>
  <w:abstractNum w:abstractNumId="1">
    <w:nsid w:val="3B363D98"/>
    <w:multiLevelType w:val="multilevel"/>
    <w:tmpl w:val="3B363D98"/>
    <w:lvl w:ilvl="0" w:tentative="0">
      <w:start w:val="1"/>
      <w:numFmt w:val="decimal"/>
      <w:pStyle w:val="7"/>
      <w:suff w:val="space"/>
      <w:lvlText w:val="图%1"/>
      <w:lvlJc w:val="left"/>
      <w:pPr>
        <w:ind w:left="0" w:firstLine="0"/>
      </w:pPr>
      <w:rPr>
        <w:rFonts w:hint="eastAsia"/>
        <w:b w:val="0"/>
        <w:bCs w:val="0"/>
        <w:i w:val="0"/>
        <w:iCs w:val="0"/>
        <w:caps w:val="0"/>
        <w:smallCaps w:val="0"/>
        <w:strike w:val="0"/>
        <w:dstrike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64F97FF5"/>
    <w:multiLevelType w:val="multilevel"/>
    <w:tmpl w:val="64F97FF5"/>
    <w:lvl w:ilvl="0" w:tentative="0">
      <w:start w:val="1"/>
      <w:numFmt w:val="decimal"/>
      <w:suff w:val="nothing"/>
      <w:lvlText w:val="（%1）"/>
      <w:lvlJc w:val="left"/>
      <w:pPr>
        <w:ind w:left="420" w:firstLine="0"/>
      </w:pPr>
      <w:rPr>
        <w:rFonts w:hint="eastAsia"/>
        <w:b w:val="0"/>
        <w:bCs w:val="0"/>
        <w:i w:val="0"/>
        <w:iCs w:val="0"/>
        <w:caps w:val="0"/>
        <w:smallCaps w:val="0"/>
        <w:strike w:val="0"/>
        <w:dstrike w:val="0"/>
        <w:spacing w:val="0"/>
        <w:position w:val="0"/>
        <w:u w:val="none"/>
        <w:vertAlign w:val="baseline"/>
        <w:lang w:val="en-US"/>
      </w:rPr>
    </w:lvl>
    <w:lvl w:ilvl="1" w:tentative="0">
      <w:start w:val="1"/>
      <w:numFmt w:val="decimal"/>
      <w:suff w:val="nothing"/>
      <w:lvlText w:val="%2）"/>
      <w:lvlJc w:val="left"/>
      <w:pPr>
        <w:ind w:left="420" w:firstLine="0"/>
      </w:pPr>
      <w:rPr>
        <w:rFonts w:hint="eastAsia"/>
      </w:rPr>
    </w:lvl>
    <w:lvl w:ilvl="2" w:tentative="0">
      <w:start w:val="1"/>
      <w:numFmt w:val="lowerRoman"/>
      <w:lvlText w:val="%3."/>
      <w:lvlJc w:val="right"/>
      <w:pPr>
        <w:ind w:left="840" w:firstLine="0"/>
      </w:pPr>
      <w:rPr>
        <w:rFonts w:hint="eastAsia"/>
      </w:rPr>
    </w:lvl>
    <w:lvl w:ilvl="3" w:tentative="0">
      <w:start w:val="1"/>
      <w:numFmt w:val="decimal"/>
      <w:lvlText w:val="%4）"/>
      <w:lvlJc w:val="left"/>
      <w:pPr>
        <w:ind w:left="1260" w:firstLine="0"/>
      </w:pPr>
      <w:rPr>
        <w:rFonts w:hint="eastAsia"/>
      </w:rPr>
    </w:lvl>
    <w:lvl w:ilvl="4" w:tentative="0">
      <w:start w:val="1"/>
      <w:numFmt w:val="lowerLetter"/>
      <w:lvlText w:val="%5)"/>
      <w:lvlJc w:val="left"/>
      <w:pPr>
        <w:ind w:left="1680" w:firstLine="0"/>
      </w:pPr>
      <w:rPr>
        <w:rFonts w:hint="eastAsia"/>
      </w:rPr>
    </w:lvl>
    <w:lvl w:ilvl="5" w:tentative="0">
      <w:start w:val="1"/>
      <w:numFmt w:val="lowerRoman"/>
      <w:lvlText w:val="%6."/>
      <w:lvlJc w:val="right"/>
      <w:pPr>
        <w:ind w:left="2100" w:firstLine="0"/>
      </w:pPr>
      <w:rPr>
        <w:rFonts w:hint="eastAsia"/>
      </w:rPr>
    </w:lvl>
    <w:lvl w:ilvl="6" w:tentative="0">
      <w:start w:val="1"/>
      <w:numFmt w:val="decimal"/>
      <w:lvlText w:val="%7."/>
      <w:lvlJc w:val="left"/>
      <w:pPr>
        <w:ind w:left="2520" w:firstLine="0"/>
      </w:pPr>
      <w:rPr>
        <w:rFonts w:hint="eastAsia"/>
      </w:rPr>
    </w:lvl>
    <w:lvl w:ilvl="7" w:tentative="0">
      <w:start w:val="1"/>
      <w:numFmt w:val="lowerLetter"/>
      <w:lvlText w:val="%8)"/>
      <w:lvlJc w:val="left"/>
      <w:pPr>
        <w:ind w:left="2940" w:firstLine="0"/>
      </w:pPr>
      <w:rPr>
        <w:rFonts w:hint="eastAsia"/>
      </w:rPr>
    </w:lvl>
    <w:lvl w:ilvl="8" w:tentative="0">
      <w:start w:val="1"/>
      <w:numFmt w:val="lowerRoman"/>
      <w:lvlText w:val="%9."/>
      <w:lvlJc w:val="right"/>
      <w:pPr>
        <w:ind w:left="3360" w:firstLine="0"/>
      </w:pPr>
      <w:rPr>
        <w:rFonts w:hint="eastAsia"/>
      </w:rPr>
    </w:lvl>
  </w:abstractNum>
  <w:num w:numId="1">
    <w:abstractNumId w:val="1"/>
  </w:num>
  <w:num w:numId="2">
    <w:abstractNumId w:val="2"/>
    <w:lvlOverride w:ilvl="0">
      <w:lvl w:ilvl="0" w:tentative="1">
        <w:start w:val="1"/>
        <w:numFmt w:val="decimal"/>
        <w:pStyle w:val="41"/>
        <w:suff w:val="nothing"/>
        <w:lvlText w:val="（%1）"/>
        <w:lvlJc w:val="left"/>
        <w:pPr>
          <w:ind w:left="420" w:firstLine="0"/>
        </w:pPr>
        <w:rPr>
          <w:rFonts w:hint="eastAsia"/>
          <w:b w:val="0"/>
          <w:bCs w:val="0"/>
          <w:i w:val="0"/>
          <w:iCs w:val="0"/>
          <w:caps w:val="0"/>
          <w:smallCaps w:val="0"/>
          <w:strike w:val="0"/>
          <w:dstrike w:val="0"/>
          <w:spacing w:val="0"/>
          <w:position w:val="0"/>
          <w:u w:val="none"/>
          <w:vertAlign w:val="baseline"/>
          <w:lang w:val="en-US"/>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NDZlNTUwODBhMjU1NGYxZmIzYmQxNjJlZDNhZDEifQ=="/>
  </w:docVars>
  <w:rsids>
    <w:rsidRoot w:val="006122FF"/>
    <w:rsid w:val="000A6267"/>
    <w:rsid w:val="000C1362"/>
    <w:rsid w:val="00133EF6"/>
    <w:rsid w:val="001B45F7"/>
    <w:rsid w:val="002053A5"/>
    <w:rsid w:val="00330374"/>
    <w:rsid w:val="003541EB"/>
    <w:rsid w:val="003C331A"/>
    <w:rsid w:val="00452862"/>
    <w:rsid w:val="0052365A"/>
    <w:rsid w:val="005406A5"/>
    <w:rsid w:val="005A2D64"/>
    <w:rsid w:val="006122FF"/>
    <w:rsid w:val="006A79F9"/>
    <w:rsid w:val="006E679E"/>
    <w:rsid w:val="00762D2C"/>
    <w:rsid w:val="007E7051"/>
    <w:rsid w:val="00887246"/>
    <w:rsid w:val="00AA6725"/>
    <w:rsid w:val="00B31744"/>
    <w:rsid w:val="00B34032"/>
    <w:rsid w:val="00B71138"/>
    <w:rsid w:val="00BA1F31"/>
    <w:rsid w:val="00C97292"/>
    <w:rsid w:val="00D94C21"/>
    <w:rsid w:val="00DC7C1D"/>
    <w:rsid w:val="00DE1CDD"/>
    <w:rsid w:val="00E75325"/>
    <w:rsid w:val="00EA6C6D"/>
    <w:rsid w:val="00F53805"/>
    <w:rsid w:val="00F63745"/>
    <w:rsid w:val="00F76805"/>
    <w:rsid w:val="012228EF"/>
    <w:rsid w:val="01690DD2"/>
    <w:rsid w:val="018067FB"/>
    <w:rsid w:val="01A041EE"/>
    <w:rsid w:val="01A544B3"/>
    <w:rsid w:val="0278042A"/>
    <w:rsid w:val="02A97FD3"/>
    <w:rsid w:val="02B61764"/>
    <w:rsid w:val="02D65F95"/>
    <w:rsid w:val="032A6C20"/>
    <w:rsid w:val="03675EC4"/>
    <w:rsid w:val="037B371D"/>
    <w:rsid w:val="044B6C77"/>
    <w:rsid w:val="04631139"/>
    <w:rsid w:val="04802553"/>
    <w:rsid w:val="04C64C6E"/>
    <w:rsid w:val="04D70E27"/>
    <w:rsid w:val="055764B5"/>
    <w:rsid w:val="05850883"/>
    <w:rsid w:val="05BB42A5"/>
    <w:rsid w:val="05F67D5A"/>
    <w:rsid w:val="069D1BFD"/>
    <w:rsid w:val="06AD0971"/>
    <w:rsid w:val="06AE3E0A"/>
    <w:rsid w:val="0700095A"/>
    <w:rsid w:val="070C4535"/>
    <w:rsid w:val="07290B71"/>
    <w:rsid w:val="072E6CF9"/>
    <w:rsid w:val="078A4E98"/>
    <w:rsid w:val="08017F69"/>
    <w:rsid w:val="080D4B60"/>
    <w:rsid w:val="08577C79"/>
    <w:rsid w:val="08D5567E"/>
    <w:rsid w:val="08FC0E5C"/>
    <w:rsid w:val="09615163"/>
    <w:rsid w:val="09C07219"/>
    <w:rsid w:val="09CD5259"/>
    <w:rsid w:val="0A6A44EC"/>
    <w:rsid w:val="0A762C66"/>
    <w:rsid w:val="0A857EEE"/>
    <w:rsid w:val="0A97712A"/>
    <w:rsid w:val="0B2E5519"/>
    <w:rsid w:val="0B3519ED"/>
    <w:rsid w:val="0B4F7D79"/>
    <w:rsid w:val="0B626F71"/>
    <w:rsid w:val="0B835865"/>
    <w:rsid w:val="0BE502CE"/>
    <w:rsid w:val="0BF202F5"/>
    <w:rsid w:val="0BFE7670"/>
    <w:rsid w:val="0C7C7FF7"/>
    <w:rsid w:val="0CCC4FEA"/>
    <w:rsid w:val="0D10753A"/>
    <w:rsid w:val="0D1D75F3"/>
    <w:rsid w:val="0D2005D6"/>
    <w:rsid w:val="0D33090C"/>
    <w:rsid w:val="0DBF68FD"/>
    <w:rsid w:val="0DC56844"/>
    <w:rsid w:val="0E5D63B5"/>
    <w:rsid w:val="0E751D86"/>
    <w:rsid w:val="0E76345F"/>
    <w:rsid w:val="0E77654C"/>
    <w:rsid w:val="0E876CE1"/>
    <w:rsid w:val="0EA0530F"/>
    <w:rsid w:val="0EE91E83"/>
    <w:rsid w:val="0F1A7CDC"/>
    <w:rsid w:val="0F3B6457"/>
    <w:rsid w:val="0F545135"/>
    <w:rsid w:val="0F8B42AA"/>
    <w:rsid w:val="0F9035E2"/>
    <w:rsid w:val="0F9F69E6"/>
    <w:rsid w:val="0FD03043"/>
    <w:rsid w:val="100C2B47"/>
    <w:rsid w:val="10A54923"/>
    <w:rsid w:val="10D26188"/>
    <w:rsid w:val="10FE598E"/>
    <w:rsid w:val="11F900C1"/>
    <w:rsid w:val="12394ECF"/>
    <w:rsid w:val="126463E5"/>
    <w:rsid w:val="12C74D70"/>
    <w:rsid w:val="130D37E5"/>
    <w:rsid w:val="13441D7E"/>
    <w:rsid w:val="13491142"/>
    <w:rsid w:val="13520465"/>
    <w:rsid w:val="1363535C"/>
    <w:rsid w:val="138571BF"/>
    <w:rsid w:val="13931934"/>
    <w:rsid w:val="13C217F6"/>
    <w:rsid w:val="148443FC"/>
    <w:rsid w:val="157B3146"/>
    <w:rsid w:val="157F6982"/>
    <w:rsid w:val="15820E0E"/>
    <w:rsid w:val="16251F74"/>
    <w:rsid w:val="162C6E51"/>
    <w:rsid w:val="16F05D79"/>
    <w:rsid w:val="17035AAC"/>
    <w:rsid w:val="1706559C"/>
    <w:rsid w:val="177B3570"/>
    <w:rsid w:val="17D17F51"/>
    <w:rsid w:val="17EB6C6C"/>
    <w:rsid w:val="1868045D"/>
    <w:rsid w:val="187A0398"/>
    <w:rsid w:val="18A706B9"/>
    <w:rsid w:val="18DA1E65"/>
    <w:rsid w:val="19404C1F"/>
    <w:rsid w:val="19AA757F"/>
    <w:rsid w:val="19D90A83"/>
    <w:rsid w:val="1A1070D7"/>
    <w:rsid w:val="1A400DC5"/>
    <w:rsid w:val="1A423B98"/>
    <w:rsid w:val="1A477973"/>
    <w:rsid w:val="1A512FD2"/>
    <w:rsid w:val="1A5D54D3"/>
    <w:rsid w:val="1AB060CF"/>
    <w:rsid w:val="1AF116B0"/>
    <w:rsid w:val="1B1D4C62"/>
    <w:rsid w:val="1B1D6D97"/>
    <w:rsid w:val="1B6D7998"/>
    <w:rsid w:val="1B7E1BA5"/>
    <w:rsid w:val="1B80591D"/>
    <w:rsid w:val="1BA020EC"/>
    <w:rsid w:val="1BB63A6F"/>
    <w:rsid w:val="1BCC0FFC"/>
    <w:rsid w:val="1C090325"/>
    <w:rsid w:val="1C174FFB"/>
    <w:rsid w:val="1C275D99"/>
    <w:rsid w:val="1C5172BA"/>
    <w:rsid w:val="1C563F1B"/>
    <w:rsid w:val="1C7D3C0B"/>
    <w:rsid w:val="1CAB71E3"/>
    <w:rsid w:val="1D2D1ABF"/>
    <w:rsid w:val="1D300C7D"/>
    <w:rsid w:val="1E4F15D7"/>
    <w:rsid w:val="1E7352C5"/>
    <w:rsid w:val="1E8B3231"/>
    <w:rsid w:val="1F011268"/>
    <w:rsid w:val="1F1D7813"/>
    <w:rsid w:val="1F336F5C"/>
    <w:rsid w:val="1F4E5D32"/>
    <w:rsid w:val="1F63358C"/>
    <w:rsid w:val="1F7B710D"/>
    <w:rsid w:val="1FBD663D"/>
    <w:rsid w:val="1FC77124"/>
    <w:rsid w:val="1FD004F5"/>
    <w:rsid w:val="201521D1"/>
    <w:rsid w:val="20933130"/>
    <w:rsid w:val="20B120D5"/>
    <w:rsid w:val="20F52CFE"/>
    <w:rsid w:val="21736C51"/>
    <w:rsid w:val="21815F4B"/>
    <w:rsid w:val="21F4496F"/>
    <w:rsid w:val="235C6C70"/>
    <w:rsid w:val="236553F8"/>
    <w:rsid w:val="247C6E9E"/>
    <w:rsid w:val="25B47277"/>
    <w:rsid w:val="25B76D12"/>
    <w:rsid w:val="25BA4E16"/>
    <w:rsid w:val="25C26B32"/>
    <w:rsid w:val="25C64874"/>
    <w:rsid w:val="25D83B51"/>
    <w:rsid w:val="25DD396C"/>
    <w:rsid w:val="261A696E"/>
    <w:rsid w:val="261D1FBA"/>
    <w:rsid w:val="262A4E03"/>
    <w:rsid w:val="26637109"/>
    <w:rsid w:val="26750D5C"/>
    <w:rsid w:val="26D965BD"/>
    <w:rsid w:val="27010CE7"/>
    <w:rsid w:val="27160EE4"/>
    <w:rsid w:val="272D2414"/>
    <w:rsid w:val="276205CD"/>
    <w:rsid w:val="278C564A"/>
    <w:rsid w:val="27D274F6"/>
    <w:rsid w:val="27EB6814"/>
    <w:rsid w:val="27F973B5"/>
    <w:rsid w:val="28E84909"/>
    <w:rsid w:val="290D2324"/>
    <w:rsid w:val="29A139E7"/>
    <w:rsid w:val="29B42C65"/>
    <w:rsid w:val="29FB0865"/>
    <w:rsid w:val="2A224043"/>
    <w:rsid w:val="2A4A6DE2"/>
    <w:rsid w:val="2A4B5348"/>
    <w:rsid w:val="2A703001"/>
    <w:rsid w:val="2A9767DF"/>
    <w:rsid w:val="2AF91248"/>
    <w:rsid w:val="2B150787"/>
    <w:rsid w:val="2B39758F"/>
    <w:rsid w:val="2B851C3D"/>
    <w:rsid w:val="2BBD4776"/>
    <w:rsid w:val="2C6770FE"/>
    <w:rsid w:val="2CDC497D"/>
    <w:rsid w:val="2D0B1D51"/>
    <w:rsid w:val="2D406CBA"/>
    <w:rsid w:val="2D71156A"/>
    <w:rsid w:val="2DA32A8E"/>
    <w:rsid w:val="2DAA05D8"/>
    <w:rsid w:val="2E3D144C"/>
    <w:rsid w:val="2EAB0AAB"/>
    <w:rsid w:val="2EBB4D1F"/>
    <w:rsid w:val="2ED4727F"/>
    <w:rsid w:val="2F06504D"/>
    <w:rsid w:val="2F40249E"/>
    <w:rsid w:val="2F544C9F"/>
    <w:rsid w:val="2F7F7180"/>
    <w:rsid w:val="2FA200FA"/>
    <w:rsid w:val="2FC82F97"/>
    <w:rsid w:val="2FD4776E"/>
    <w:rsid w:val="2FF344B8"/>
    <w:rsid w:val="30073ABF"/>
    <w:rsid w:val="30540F92"/>
    <w:rsid w:val="307B2640"/>
    <w:rsid w:val="307D6477"/>
    <w:rsid w:val="30E65109"/>
    <w:rsid w:val="3161549B"/>
    <w:rsid w:val="31A35A6A"/>
    <w:rsid w:val="321144EB"/>
    <w:rsid w:val="324059AE"/>
    <w:rsid w:val="32456B21"/>
    <w:rsid w:val="325C702E"/>
    <w:rsid w:val="331D25F3"/>
    <w:rsid w:val="33863895"/>
    <w:rsid w:val="33AB1663"/>
    <w:rsid w:val="33B45D0C"/>
    <w:rsid w:val="340D366E"/>
    <w:rsid w:val="341923BE"/>
    <w:rsid w:val="349D2C44"/>
    <w:rsid w:val="34D825BE"/>
    <w:rsid w:val="350B5453"/>
    <w:rsid w:val="35262C3A"/>
    <w:rsid w:val="35563779"/>
    <w:rsid w:val="35794D6E"/>
    <w:rsid w:val="35B30C8C"/>
    <w:rsid w:val="35C3083A"/>
    <w:rsid w:val="35CE6E2D"/>
    <w:rsid w:val="36864A0B"/>
    <w:rsid w:val="36963DEF"/>
    <w:rsid w:val="37656CA4"/>
    <w:rsid w:val="37753A04"/>
    <w:rsid w:val="37781747"/>
    <w:rsid w:val="3790083E"/>
    <w:rsid w:val="379458EE"/>
    <w:rsid w:val="385E26EA"/>
    <w:rsid w:val="386B4E07"/>
    <w:rsid w:val="386E535C"/>
    <w:rsid w:val="38993C8D"/>
    <w:rsid w:val="38A52939"/>
    <w:rsid w:val="38B46C51"/>
    <w:rsid w:val="3942025E"/>
    <w:rsid w:val="394A6E41"/>
    <w:rsid w:val="395A1104"/>
    <w:rsid w:val="397D27F8"/>
    <w:rsid w:val="398B2537"/>
    <w:rsid w:val="39CB2E5A"/>
    <w:rsid w:val="39EE1E9E"/>
    <w:rsid w:val="39EE511E"/>
    <w:rsid w:val="3A47779C"/>
    <w:rsid w:val="3A881CA1"/>
    <w:rsid w:val="3B4C74FE"/>
    <w:rsid w:val="3B506F06"/>
    <w:rsid w:val="3BC63D6C"/>
    <w:rsid w:val="3C017F5D"/>
    <w:rsid w:val="3C0343EB"/>
    <w:rsid w:val="3C300842"/>
    <w:rsid w:val="3C6648CA"/>
    <w:rsid w:val="3CBC3E83"/>
    <w:rsid w:val="3CE37FAD"/>
    <w:rsid w:val="3D00517E"/>
    <w:rsid w:val="3D0E0B83"/>
    <w:rsid w:val="3D2F4655"/>
    <w:rsid w:val="3D4D47B2"/>
    <w:rsid w:val="3DFA2EB5"/>
    <w:rsid w:val="3E530817"/>
    <w:rsid w:val="3E5D51F2"/>
    <w:rsid w:val="3E8B1D5F"/>
    <w:rsid w:val="3EA93299"/>
    <w:rsid w:val="3EC01C0C"/>
    <w:rsid w:val="3F1E2BD3"/>
    <w:rsid w:val="3F35246E"/>
    <w:rsid w:val="3F4C285C"/>
    <w:rsid w:val="3F591FAD"/>
    <w:rsid w:val="405420C7"/>
    <w:rsid w:val="405A6827"/>
    <w:rsid w:val="40BC4452"/>
    <w:rsid w:val="4113639B"/>
    <w:rsid w:val="41C23CEA"/>
    <w:rsid w:val="41D10249"/>
    <w:rsid w:val="42015F97"/>
    <w:rsid w:val="426D634C"/>
    <w:rsid w:val="42BE103C"/>
    <w:rsid w:val="436575FF"/>
    <w:rsid w:val="438C0A54"/>
    <w:rsid w:val="438E0A87"/>
    <w:rsid w:val="43BD7416"/>
    <w:rsid w:val="446E63AB"/>
    <w:rsid w:val="447613AA"/>
    <w:rsid w:val="44BA6EFA"/>
    <w:rsid w:val="44C67F95"/>
    <w:rsid w:val="44F32BB8"/>
    <w:rsid w:val="45032156"/>
    <w:rsid w:val="450464A6"/>
    <w:rsid w:val="451F1F54"/>
    <w:rsid w:val="455C6204"/>
    <w:rsid w:val="45E02B2E"/>
    <w:rsid w:val="4609638B"/>
    <w:rsid w:val="467412A4"/>
    <w:rsid w:val="468A6BCE"/>
    <w:rsid w:val="469134DC"/>
    <w:rsid w:val="469928C8"/>
    <w:rsid w:val="46C07929"/>
    <w:rsid w:val="47414BDF"/>
    <w:rsid w:val="4742411D"/>
    <w:rsid w:val="474C6033"/>
    <w:rsid w:val="47F4330E"/>
    <w:rsid w:val="48030BB8"/>
    <w:rsid w:val="48117779"/>
    <w:rsid w:val="48BF2D31"/>
    <w:rsid w:val="48FE79D6"/>
    <w:rsid w:val="49425710"/>
    <w:rsid w:val="49514048"/>
    <w:rsid w:val="49973CAE"/>
    <w:rsid w:val="4A356ED0"/>
    <w:rsid w:val="4A443E36"/>
    <w:rsid w:val="4AA30737"/>
    <w:rsid w:val="4ADB31FA"/>
    <w:rsid w:val="4AF83184"/>
    <w:rsid w:val="4B72052F"/>
    <w:rsid w:val="4BBE5D03"/>
    <w:rsid w:val="4BF61160"/>
    <w:rsid w:val="4C0D57B2"/>
    <w:rsid w:val="4C1C1CF5"/>
    <w:rsid w:val="4C2630C7"/>
    <w:rsid w:val="4C7116FF"/>
    <w:rsid w:val="4C7F2DCA"/>
    <w:rsid w:val="4CA02E7A"/>
    <w:rsid w:val="4CF17F56"/>
    <w:rsid w:val="4D551EB6"/>
    <w:rsid w:val="4E197388"/>
    <w:rsid w:val="4E616639"/>
    <w:rsid w:val="4E8D38D2"/>
    <w:rsid w:val="4F1743B9"/>
    <w:rsid w:val="4F557DA1"/>
    <w:rsid w:val="4F9E448C"/>
    <w:rsid w:val="5012408F"/>
    <w:rsid w:val="5017316E"/>
    <w:rsid w:val="507547B0"/>
    <w:rsid w:val="50907386"/>
    <w:rsid w:val="509947B0"/>
    <w:rsid w:val="50C42AC9"/>
    <w:rsid w:val="50EC48E0"/>
    <w:rsid w:val="5153495F"/>
    <w:rsid w:val="51C07B1A"/>
    <w:rsid w:val="51DA5080"/>
    <w:rsid w:val="522C47C1"/>
    <w:rsid w:val="526861E8"/>
    <w:rsid w:val="52862F03"/>
    <w:rsid w:val="52B07B8F"/>
    <w:rsid w:val="52FC2DD4"/>
    <w:rsid w:val="53210AC4"/>
    <w:rsid w:val="533B4921"/>
    <w:rsid w:val="53765FB4"/>
    <w:rsid w:val="53A05E55"/>
    <w:rsid w:val="53A45945"/>
    <w:rsid w:val="53CD4942"/>
    <w:rsid w:val="540D34EB"/>
    <w:rsid w:val="54464986"/>
    <w:rsid w:val="549C2AC3"/>
    <w:rsid w:val="54A03DE4"/>
    <w:rsid w:val="54DE2DF9"/>
    <w:rsid w:val="5503137F"/>
    <w:rsid w:val="552F7491"/>
    <w:rsid w:val="55D46FAF"/>
    <w:rsid w:val="55EF3097"/>
    <w:rsid w:val="56871FF9"/>
    <w:rsid w:val="571E5413"/>
    <w:rsid w:val="57371AC5"/>
    <w:rsid w:val="57634A37"/>
    <w:rsid w:val="578C2978"/>
    <w:rsid w:val="583963BB"/>
    <w:rsid w:val="58490869"/>
    <w:rsid w:val="58E67940"/>
    <w:rsid w:val="58F00CE5"/>
    <w:rsid w:val="5948425F"/>
    <w:rsid w:val="59594B73"/>
    <w:rsid w:val="598111E7"/>
    <w:rsid w:val="5A1E20C2"/>
    <w:rsid w:val="5A3C3F0A"/>
    <w:rsid w:val="5A3D0B5E"/>
    <w:rsid w:val="5A7D47FA"/>
    <w:rsid w:val="5B3A6B8F"/>
    <w:rsid w:val="5B436B95"/>
    <w:rsid w:val="5B5E07F4"/>
    <w:rsid w:val="5BC36731"/>
    <w:rsid w:val="5BF840AA"/>
    <w:rsid w:val="5D1E0517"/>
    <w:rsid w:val="5E2640DD"/>
    <w:rsid w:val="5E601747"/>
    <w:rsid w:val="5E783C56"/>
    <w:rsid w:val="5EAF519E"/>
    <w:rsid w:val="5EE25574"/>
    <w:rsid w:val="5EE4612B"/>
    <w:rsid w:val="5EFD415C"/>
    <w:rsid w:val="5F293F2C"/>
    <w:rsid w:val="5FD650D9"/>
    <w:rsid w:val="60142BB8"/>
    <w:rsid w:val="60385A7F"/>
    <w:rsid w:val="603D2F63"/>
    <w:rsid w:val="604D2807"/>
    <w:rsid w:val="60C36D93"/>
    <w:rsid w:val="60FB77C2"/>
    <w:rsid w:val="61002126"/>
    <w:rsid w:val="610F4283"/>
    <w:rsid w:val="61102FC1"/>
    <w:rsid w:val="612742F0"/>
    <w:rsid w:val="61994610"/>
    <w:rsid w:val="61DE123C"/>
    <w:rsid w:val="621A6DD3"/>
    <w:rsid w:val="6220088D"/>
    <w:rsid w:val="626D585E"/>
    <w:rsid w:val="62A96AD4"/>
    <w:rsid w:val="62C81AB5"/>
    <w:rsid w:val="63CB4828"/>
    <w:rsid w:val="63D95197"/>
    <w:rsid w:val="63F35B2D"/>
    <w:rsid w:val="63FE6114"/>
    <w:rsid w:val="644F4F6C"/>
    <w:rsid w:val="646602D4"/>
    <w:rsid w:val="64912BE5"/>
    <w:rsid w:val="65402FF4"/>
    <w:rsid w:val="655E7726"/>
    <w:rsid w:val="659F5F6D"/>
    <w:rsid w:val="65BD2897"/>
    <w:rsid w:val="65D9428A"/>
    <w:rsid w:val="6654405B"/>
    <w:rsid w:val="66643CF1"/>
    <w:rsid w:val="67024A05"/>
    <w:rsid w:val="67B51A77"/>
    <w:rsid w:val="67CE3081"/>
    <w:rsid w:val="67D5239C"/>
    <w:rsid w:val="67E043D4"/>
    <w:rsid w:val="68676FBD"/>
    <w:rsid w:val="68A13DAA"/>
    <w:rsid w:val="68EB550B"/>
    <w:rsid w:val="696C085C"/>
    <w:rsid w:val="69790883"/>
    <w:rsid w:val="6A0B3BD1"/>
    <w:rsid w:val="6A1B7B8C"/>
    <w:rsid w:val="6A42336B"/>
    <w:rsid w:val="6A4946F9"/>
    <w:rsid w:val="6B65400E"/>
    <w:rsid w:val="6B6E08BB"/>
    <w:rsid w:val="6BAF6860"/>
    <w:rsid w:val="6BB93489"/>
    <w:rsid w:val="6BBB4E42"/>
    <w:rsid w:val="6BC54253"/>
    <w:rsid w:val="6C2A502A"/>
    <w:rsid w:val="6C441E57"/>
    <w:rsid w:val="6CF36C72"/>
    <w:rsid w:val="6D17050B"/>
    <w:rsid w:val="6D28512B"/>
    <w:rsid w:val="6D2D296A"/>
    <w:rsid w:val="6D5B3CAF"/>
    <w:rsid w:val="6E421B8B"/>
    <w:rsid w:val="6EC16F54"/>
    <w:rsid w:val="6EE70FDE"/>
    <w:rsid w:val="6F0E5412"/>
    <w:rsid w:val="6F1572A0"/>
    <w:rsid w:val="6F524050"/>
    <w:rsid w:val="6F7C2E7B"/>
    <w:rsid w:val="706E6C67"/>
    <w:rsid w:val="70844284"/>
    <w:rsid w:val="70875F7B"/>
    <w:rsid w:val="70E55BF7"/>
    <w:rsid w:val="70EC5DDE"/>
    <w:rsid w:val="713752AB"/>
    <w:rsid w:val="71AB4B40"/>
    <w:rsid w:val="71BB5EDC"/>
    <w:rsid w:val="728564EA"/>
    <w:rsid w:val="7292535E"/>
    <w:rsid w:val="730B69EF"/>
    <w:rsid w:val="73320420"/>
    <w:rsid w:val="7379604F"/>
    <w:rsid w:val="73876155"/>
    <w:rsid w:val="73ED4347"/>
    <w:rsid w:val="740B2EF0"/>
    <w:rsid w:val="7478119A"/>
    <w:rsid w:val="74DF0134"/>
    <w:rsid w:val="752843FD"/>
    <w:rsid w:val="759265D8"/>
    <w:rsid w:val="75AA2009"/>
    <w:rsid w:val="75D52037"/>
    <w:rsid w:val="75F249EA"/>
    <w:rsid w:val="760A6313"/>
    <w:rsid w:val="760D5D5E"/>
    <w:rsid w:val="76721211"/>
    <w:rsid w:val="76AA52AD"/>
    <w:rsid w:val="76DA5057"/>
    <w:rsid w:val="76E23F0B"/>
    <w:rsid w:val="77402066"/>
    <w:rsid w:val="776E39F1"/>
    <w:rsid w:val="77D52EF4"/>
    <w:rsid w:val="77DB1A01"/>
    <w:rsid w:val="77E35E9B"/>
    <w:rsid w:val="77EA16F7"/>
    <w:rsid w:val="786935ED"/>
    <w:rsid w:val="78766050"/>
    <w:rsid w:val="78BD078C"/>
    <w:rsid w:val="7A926435"/>
    <w:rsid w:val="7A977B2D"/>
    <w:rsid w:val="7AD81520"/>
    <w:rsid w:val="7B024B7C"/>
    <w:rsid w:val="7BA12366"/>
    <w:rsid w:val="7BBF62A0"/>
    <w:rsid w:val="7BC82850"/>
    <w:rsid w:val="7C8A307B"/>
    <w:rsid w:val="7CE4330E"/>
    <w:rsid w:val="7CF20C20"/>
    <w:rsid w:val="7D537911"/>
    <w:rsid w:val="7DAA273A"/>
    <w:rsid w:val="7E41481C"/>
    <w:rsid w:val="7E4405C9"/>
    <w:rsid w:val="7E4E0047"/>
    <w:rsid w:val="7E6416AA"/>
    <w:rsid w:val="7F7122D0"/>
    <w:rsid w:val="7F8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6">
    <w:name w:val="heading 4"/>
    <w:basedOn w:val="1"/>
    <w:next w:val="5"/>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5">
    <w:name w:val="Normal Indent"/>
    <w:basedOn w:val="1"/>
    <w:autoRedefine/>
    <w:qFormat/>
    <w:uiPriority w:val="99"/>
    <w:pPr>
      <w:ind w:firstLine="420"/>
    </w:pPr>
    <w:rPr>
      <w:kern w:val="0"/>
      <w:szCs w:val="20"/>
    </w:rPr>
  </w:style>
  <w:style w:type="paragraph" w:styleId="7">
    <w:name w:val="caption"/>
    <w:basedOn w:val="1"/>
    <w:next w:val="1"/>
    <w:autoRedefine/>
    <w:qFormat/>
    <w:uiPriority w:val="35"/>
    <w:pPr>
      <w:numPr>
        <w:ilvl w:val="0"/>
        <w:numId w:val="1"/>
      </w:numPr>
      <w:jc w:val="center"/>
    </w:pPr>
  </w:style>
  <w:style w:type="paragraph" w:styleId="8">
    <w:name w:val="annotation text"/>
    <w:basedOn w:val="1"/>
    <w:link w:val="58"/>
    <w:autoRedefine/>
    <w:qFormat/>
    <w:uiPriority w:val="0"/>
    <w:pPr>
      <w:jc w:val="left"/>
    </w:pPr>
  </w:style>
  <w:style w:type="paragraph" w:styleId="9">
    <w:name w:val="Body Text"/>
    <w:basedOn w:val="1"/>
    <w:next w:val="1"/>
    <w:autoRedefine/>
    <w:qFormat/>
    <w:uiPriority w:val="0"/>
    <w:pPr>
      <w:jc w:val="center"/>
    </w:pPr>
    <w:rPr>
      <w:rFonts w:ascii="方正大黑简体" w:eastAsia="方正大黑简体"/>
      <w:kern w:val="44"/>
      <w:position w:val="6"/>
      <w:sz w:val="30"/>
      <w:szCs w:val="20"/>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qFormat/>
    <w:uiPriority w:val="0"/>
    <w:pPr>
      <w:snapToGrid w:val="0"/>
    </w:pPr>
    <w:rPr>
      <w:rFonts w:ascii="Arial" w:hAnsi="Arial"/>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rFonts w:ascii="宋体" w:hAnsi="宋体" w:eastAsia="楷体_GB2312"/>
      <w:sz w:val="24"/>
      <w:szCs w:val="20"/>
    </w:rPr>
  </w:style>
  <w:style w:type="paragraph" w:styleId="14">
    <w:name w:val="Body Text Indent 2"/>
    <w:basedOn w:val="1"/>
    <w:autoRedefine/>
    <w:qFormat/>
    <w:uiPriority w:val="0"/>
    <w:pPr>
      <w:spacing w:after="120" w:line="480" w:lineRule="auto"/>
      <w:ind w:left="420" w:leftChars="200"/>
    </w:pPr>
    <w:rPr>
      <w:rFonts w:ascii="Calibri" w:hAnsi="Calibri"/>
    </w:rPr>
  </w:style>
  <w:style w:type="paragraph" w:styleId="15">
    <w:name w:val="Balloon Text"/>
    <w:basedOn w:val="1"/>
    <w:link w:val="65"/>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spacing w:before="120" w:after="120"/>
      <w:jc w:val="left"/>
    </w:pPr>
    <w:rPr>
      <w:b/>
      <w:bCs/>
      <w:caps/>
      <w:sz w:val="20"/>
      <w:szCs w:val="20"/>
    </w:rPr>
  </w:style>
  <w:style w:type="paragraph" w:styleId="19">
    <w:name w:val="index heading"/>
    <w:basedOn w:val="1"/>
    <w:next w:val="20"/>
    <w:autoRedefine/>
    <w:semiHidden/>
    <w:qFormat/>
    <w:uiPriority w:val="0"/>
    <w:pPr>
      <w:spacing w:line="360" w:lineRule="auto"/>
      <w:ind w:firstLine="482"/>
    </w:pPr>
    <w:rPr>
      <w:rFonts w:ascii="Footlight MT Light" w:hAnsi="Footlight MT Light"/>
      <w:sz w:val="24"/>
      <w:szCs w:val="20"/>
    </w:rPr>
  </w:style>
  <w:style w:type="paragraph" w:styleId="20">
    <w:name w:val="index 1"/>
    <w:basedOn w:val="1"/>
    <w:next w:val="1"/>
    <w:autoRedefine/>
    <w:semiHidden/>
    <w:qFormat/>
    <w:uiPriority w:val="0"/>
  </w:style>
  <w:style w:type="paragraph" w:styleId="21">
    <w:name w:val="toc 6"/>
    <w:basedOn w:val="1"/>
    <w:next w:val="1"/>
    <w:autoRedefine/>
    <w:semiHidden/>
    <w:qFormat/>
    <w:uiPriority w:val="0"/>
    <w:pPr>
      <w:ind w:left="1050"/>
      <w:jc w:val="left"/>
    </w:pPr>
    <w:rPr>
      <w:sz w:val="18"/>
      <w:szCs w:val="18"/>
    </w:rPr>
  </w:style>
  <w:style w:type="paragraph" w:styleId="22">
    <w:name w:val="index 9"/>
    <w:basedOn w:val="1"/>
    <w:next w:val="1"/>
    <w:autoRedefine/>
    <w:qFormat/>
    <w:uiPriority w:val="0"/>
    <w:pPr>
      <w:ind w:left="1890" w:hanging="210"/>
      <w:jc w:val="left"/>
    </w:pPr>
  </w:style>
  <w:style w:type="paragraph" w:styleId="23">
    <w:name w:val="toc 2"/>
    <w:basedOn w:val="1"/>
    <w:next w:val="1"/>
    <w:autoRedefine/>
    <w:qFormat/>
    <w:uiPriority w:val="0"/>
    <w:pPr>
      <w:ind w:left="210"/>
      <w:jc w:val="left"/>
    </w:pPr>
    <w:rPr>
      <w:smallCaps/>
      <w:sz w:val="20"/>
      <w:szCs w:val="2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autoRedefine/>
    <w:qFormat/>
    <w:uiPriority w:val="10"/>
    <w:pPr>
      <w:spacing w:before="240" w:after="60"/>
      <w:jc w:val="center"/>
      <w:outlineLvl w:val="0"/>
    </w:pPr>
    <w:rPr>
      <w:rFonts w:ascii="Cambria" w:hAnsi="Cambria"/>
      <w:b/>
      <w:bCs/>
      <w:sz w:val="32"/>
      <w:szCs w:val="32"/>
    </w:rPr>
  </w:style>
  <w:style w:type="paragraph" w:styleId="26">
    <w:name w:val="annotation subject"/>
    <w:basedOn w:val="8"/>
    <w:next w:val="8"/>
    <w:link w:val="59"/>
    <w:autoRedefine/>
    <w:qFormat/>
    <w:uiPriority w:val="0"/>
    <w:rPr>
      <w:b/>
      <w:bCs/>
    </w:rPr>
  </w:style>
  <w:style w:type="paragraph" w:styleId="27">
    <w:name w:val="Body Text First Indent"/>
    <w:basedOn w:val="1"/>
    <w:next w:val="21"/>
    <w:autoRedefine/>
    <w:qFormat/>
    <w:uiPriority w:val="0"/>
    <w:pPr>
      <w:ind w:firstLine="420" w:firstLineChars="100"/>
    </w:pPr>
  </w:style>
  <w:style w:type="paragraph" w:styleId="28">
    <w:name w:val="Body Text First Indent 2"/>
    <w:basedOn w:val="10"/>
    <w:next w:val="1"/>
    <w:autoRedefine/>
    <w:qFormat/>
    <w:uiPriority w:val="0"/>
    <w:pPr>
      <w:ind w:firstLine="42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rPr>
      <w:rFonts w:ascii="Times New Roman" w:hAnsi="Times New Roman" w:eastAsia="宋体" w:cs="Times New Roman"/>
    </w:rPr>
  </w:style>
  <w:style w:type="character" w:styleId="33">
    <w:name w:val="Hyperlink"/>
    <w:basedOn w:val="31"/>
    <w:autoRedefine/>
    <w:qFormat/>
    <w:uiPriority w:val="0"/>
    <w:rPr>
      <w:color w:val="0000FF"/>
      <w:u w:val="single"/>
    </w:rPr>
  </w:style>
  <w:style w:type="character" w:styleId="34">
    <w:name w:val="annotation reference"/>
    <w:basedOn w:val="31"/>
    <w:autoRedefine/>
    <w:qFormat/>
    <w:uiPriority w:val="0"/>
    <w:rPr>
      <w:sz w:val="21"/>
      <w:szCs w:val="21"/>
    </w:rPr>
  </w:style>
  <w:style w:type="paragraph" w:customStyle="1" w:styleId="35">
    <w:name w:val="正文文本1"/>
    <w:basedOn w:val="1"/>
    <w:unhideWhenUsed/>
    <w:qFormat/>
    <w:uiPriority w:val="0"/>
    <w:rPr>
      <w:rFonts w:ascii="楷体_GB2312"/>
      <w:b/>
      <w:bCs/>
      <w:sz w:val="28"/>
    </w:rPr>
  </w:style>
  <w:style w:type="paragraph" w:customStyle="1" w:styleId="36">
    <w:name w:val="引文目录1"/>
    <w:basedOn w:val="1"/>
    <w:next w:val="1"/>
    <w:autoRedefine/>
    <w:qFormat/>
    <w:uiPriority w:val="0"/>
    <w:pPr>
      <w:ind w:left="420" w:leftChars="200"/>
    </w:pPr>
  </w:style>
  <w:style w:type="paragraph" w:customStyle="1" w:styleId="37">
    <w:name w:val="列出段落1"/>
    <w:basedOn w:val="1"/>
    <w:autoRedefine/>
    <w:qFormat/>
    <w:uiPriority w:val="34"/>
    <w:pPr>
      <w:ind w:firstLine="420" w:firstLineChars="200"/>
    </w:pPr>
  </w:style>
  <w:style w:type="paragraph" w:customStyle="1" w:styleId="38">
    <w:name w:val="Default"/>
    <w:autoRedefine/>
    <w:qFormat/>
    <w:uiPriority w:val="99"/>
    <w:pPr>
      <w:widowControl w:val="0"/>
      <w:autoSpaceDE w:val="0"/>
      <w:autoSpaceDN w:val="0"/>
      <w:adjustRightInd w:val="0"/>
    </w:pPr>
    <w:rPr>
      <w:rFonts w:ascii="宋体" w:hAnsi="宋体" w:eastAsia="华文细黑" w:cs="宋体"/>
      <w:color w:val="000000"/>
      <w:sz w:val="24"/>
      <w:szCs w:val="24"/>
      <w:lang w:val="en-US" w:eastAsia="zh-CN" w:bidi="ar-SA"/>
    </w:rPr>
  </w:style>
  <w:style w:type="paragraph" w:customStyle="1" w:styleId="39">
    <w:name w:val="表格文字"/>
    <w:basedOn w:val="12"/>
    <w:next w:val="9"/>
    <w:autoRedefine/>
    <w:qFormat/>
    <w:uiPriority w:val="0"/>
    <w:pPr>
      <w:adjustRightInd w:val="0"/>
      <w:spacing w:line="420" w:lineRule="atLeast"/>
      <w:jc w:val="left"/>
      <w:textAlignment w:val="baseline"/>
    </w:pPr>
    <w:rPr>
      <w:kern w:val="0"/>
      <w:szCs w:val="20"/>
    </w:rPr>
  </w:style>
  <w:style w:type="paragraph" w:customStyle="1" w:styleId="40">
    <w:name w:val="无间隔1"/>
    <w:autoRedefine/>
    <w:qFormat/>
    <w:uiPriority w:val="1"/>
    <w:pPr>
      <w:widowControl w:val="0"/>
      <w:spacing w:line="360" w:lineRule="auto"/>
      <w:jc w:val="center"/>
    </w:pPr>
    <w:rPr>
      <w:rFonts w:ascii="Times New Roman" w:hAnsi="Times New Roman" w:eastAsia="仿宋_GB2312" w:cs="Times New Roman"/>
      <w:kern w:val="2"/>
      <w:sz w:val="24"/>
      <w:szCs w:val="24"/>
      <w:lang w:val="en-US" w:eastAsia="zh-CN" w:bidi="ar-SA"/>
    </w:rPr>
  </w:style>
  <w:style w:type="paragraph" w:customStyle="1" w:styleId="41">
    <w:name w:val="正文（1）"/>
    <w:basedOn w:val="1"/>
    <w:autoRedefine/>
    <w:qFormat/>
    <w:uiPriority w:val="0"/>
    <w:pPr>
      <w:numPr>
        <w:ilvl w:val="0"/>
        <w:numId w:val="2"/>
      </w:numPr>
    </w:pPr>
    <w:rPr>
      <w:color w:val="000000"/>
    </w:rPr>
  </w:style>
  <w:style w:type="paragraph" w:customStyle="1" w:styleId="42">
    <w:name w:val="石墨文档正文"/>
    <w:autoRedefine/>
    <w:qFormat/>
    <w:uiPriority w:val="0"/>
    <w:rPr>
      <w:rFonts w:ascii="微软雅黑" w:hAnsi="微软雅黑" w:eastAsia="微软雅黑" w:cs="微软雅黑"/>
      <w:sz w:val="22"/>
      <w:szCs w:val="22"/>
      <w:lang w:val="en-US" w:eastAsia="zh-CN" w:bidi="ar-SA"/>
    </w:rPr>
  </w:style>
  <w:style w:type="character" w:customStyle="1" w:styleId="43">
    <w:name w:val="font101"/>
    <w:basedOn w:val="31"/>
    <w:autoRedefine/>
    <w:qFormat/>
    <w:uiPriority w:val="0"/>
    <w:rPr>
      <w:rFonts w:ascii="Calibri" w:hAnsi="Calibri" w:cs="Calibri"/>
      <w:color w:val="000000"/>
      <w:sz w:val="18"/>
      <w:szCs w:val="18"/>
      <w:u w:val="none"/>
    </w:rPr>
  </w:style>
  <w:style w:type="character" w:customStyle="1" w:styleId="44">
    <w:name w:val="font41"/>
    <w:basedOn w:val="31"/>
    <w:autoRedefine/>
    <w:qFormat/>
    <w:uiPriority w:val="0"/>
    <w:rPr>
      <w:rFonts w:hint="eastAsia" w:ascii="宋体" w:hAnsi="宋体" w:eastAsia="宋体" w:cs="宋体"/>
      <w:color w:val="000000"/>
      <w:sz w:val="24"/>
      <w:szCs w:val="24"/>
      <w:u w:val="none"/>
    </w:rPr>
  </w:style>
  <w:style w:type="character" w:customStyle="1" w:styleId="45">
    <w:name w:val="font111"/>
    <w:basedOn w:val="31"/>
    <w:autoRedefine/>
    <w:qFormat/>
    <w:uiPriority w:val="0"/>
    <w:rPr>
      <w:rFonts w:hint="eastAsia" w:ascii="宋体" w:hAnsi="宋体" w:eastAsia="宋体" w:cs="宋体"/>
      <w:color w:val="000000"/>
      <w:sz w:val="20"/>
      <w:szCs w:val="20"/>
      <w:u w:val="none"/>
    </w:rPr>
  </w:style>
  <w:style w:type="paragraph" w:customStyle="1" w:styleId="4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7">
    <w:name w:val="普通(Web)4"/>
    <w:basedOn w:val="1"/>
    <w:autoRedefine/>
    <w:qFormat/>
    <w:uiPriority w:val="0"/>
    <w:pPr>
      <w:widowControl/>
      <w:spacing w:before="100" w:beforeAutospacing="1" w:after="100" w:afterAutospacing="1" w:line="375" w:lineRule="atLeast"/>
      <w:jc w:val="left"/>
    </w:pPr>
    <w:rPr>
      <w:rFonts w:ascii="ˎ̥" w:hAnsi="ˎ̥"/>
      <w:kern w:val="0"/>
      <w:sz w:val="24"/>
    </w:rPr>
  </w:style>
  <w:style w:type="paragraph" w:customStyle="1" w:styleId="48">
    <w:name w:val="正文 New New New New New New New New New New New New New New New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9">
    <w:name w:val="一级条标题"/>
    <w:basedOn w:val="50"/>
    <w:next w:val="2"/>
    <w:autoRedefine/>
    <w:qFormat/>
    <w:uiPriority w:val="0"/>
    <w:pPr>
      <w:tabs>
        <w:tab w:val="left" w:pos="810"/>
        <w:tab w:val="left" w:pos="907"/>
        <w:tab w:val="left" w:pos="1265"/>
      </w:tabs>
      <w:ind w:left="907" w:hanging="907"/>
      <w:outlineLvl w:val="2"/>
    </w:pPr>
    <w:rPr>
      <w:rFonts w:hAnsi="宋体"/>
    </w:rPr>
  </w:style>
  <w:style w:type="paragraph" w:customStyle="1" w:styleId="50">
    <w:name w:val="章标题"/>
    <w:next w:val="1"/>
    <w:autoRedefine/>
    <w:qFormat/>
    <w:uiPriority w:val="0"/>
    <w:pPr>
      <w:tabs>
        <w:tab w:val="left" w:pos="810"/>
        <w:tab w:val="left" w:pos="1265"/>
      </w:tabs>
      <w:spacing w:before="50" w:after="50"/>
      <w:ind w:left="810" w:hanging="810"/>
      <w:jc w:val="both"/>
      <w:outlineLvl w:val="1"/>
    </w:pPr>
    <w:rPr>
      <w:rFonts w:ascii="黑体" w:hAnsi="Calibri" w:eastAsia="宋体" w:cs="Times New Roman"/>
      <w:kern w:val="2"/>
      <w:sz w:val="21"/>
      <w:szCs w:val="22"/>
      <w:lang w:val="en-US" w:eastAsia="zh-CN" w:bidi="ar-SA"/>
    </w:rPr>
  </w:style>
  <w:style w:type="paragraph" w:customStyle="1" w:styleId="51">
    <w:name w:val="正文 A"/>
    <w:next w:val="52"/>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52">
    <w:name w:val="标题 21"/>
    <w:next w:val="51"/>
    <w:autoRedefine/>
    <w:qFormat/>
    <w:uiPriority w:val="0"/>
    <w:pPr>
      <w:keepNext/>
      <w:keepLines/>
      <w:widowControl w:val="0"/>
      <w:spacing w:before="260" w:after="260" w:line="416" w:lineRule="auto"/>
      <w:jc w:val="center"/>
      <w:outlineLvl w:val="0"/>
    </w:pPr>
    <w:rPr>
      <w:rFonts w:hint="eastAsia" w:ascii="Arial Unicode MS" w:hAnsi="Arial Unicode MS" w:eastAsia="Arial Unicode MS" w:cs="Arial Unicode MS"/>
      <w:color w:val="000000"/>
      <w:kern w:val="2"/>
      <w:sz w:val="44"/>
      <w:szCs w:val="44"/>
      <w:lang w:val="en-US" w:eastAsia="zh-CN" w:bidi="ar-SA"/>
    </w:rPr>
  </w:style>
  <w:style w:type="paragraph" w:customStyle="1" w:styleId="53">
    <w:name w:val="正文1"/>
    <w:basedOn w:val="1"/>
    <w:autoRedefine/>
    <w:qFormat/>
    <w:uiPriority w:val="0"/>
    <w:pPr>
      <w:spacing w:line="360" w:lineRule="auto"/>
      <w:ind w:firstLine="566" w:firstLineChars="202"/>
    </w:pPr>
    <w:rPr>
      <w:rFonts w:ascii="仿宋_GB2312" w:hAnsi="宋体" w:eastAsia="仿宋_GB2312"/>
      <w:kern w:val="0"/>
      <w:sz w:val="28"/>
      <w:szCs w:val="20"/>
    </w:rPr>
  </w:style>
  <w:style w:type="paragraph" w:customStyle="1" w:styleId="54">
    <w:name w:val="Normal_0_2"/>
    <w:autoRedefine/>
    <w:qFormat/>
    <w:uiPriority w:val="0"/>
    <w:rPr>
      <w:rFonts w:ascii="Times New Roman" w:hAnsi="Times New Roman" w:eastAsia="Times New Roman" w:cs="Times New Roman"/>
      <w:sz w:val="24"/>
      <w:szCs w:val="24"/>
      <w:lang w:val="en-US" w:eastAsia="zh-CN" w:bidi="ar-SA"/>
    </w:rPr>
  </w:style>
  <w:style w:type="character" w:customStyle="1" w:styleId="55">
    <w:name w:val="font61"/>
    <w:basedOn w:val="31"/>
    <w:autoRedefine/>
    <w:qFormat/>
    <w:uiPriority w:val="0"/>
    <w:rPr>
      <w:rFonts w:ascii="Calibri" w:hAnsi="Calibri" w:cs="Calibri"/>
      <w:color w:val="000000"/>
      <w:sz w:val="22"/>
      <w:szCs w:val="22"/>
      <w:u w:val="none"/>
    </w:rPr>
  </w:style>
  <w:style w:type="character" w:customStyle="1" w:styleId="56">
    <w:name w:val="font81"/>
    <w:basedOn w:val="31"/>
    <w:autoRedefine/>
    <w:qFormat/>
    <w:uiPriority w:val="0"/>
    <w:rPr>
      <w:rFonts w:ascii="Calibri" w:hAnsi="Calibri" w:cs="Calibri"/>
      <w:color w:val="000000"/>
      <w:sz w:val="22"/>
      <w:szCs w:val="22"/>
      <w:u w:val="none"/>
    </w:rPr>
  </w:style>
  <w:style w:type="paragraph" w:styleId="57">
    <w:name w:val="List Paragraph"/>
    <w:basedOn w:val="1"/>
    <w:autoRedefine/>
    <w:qFormat/>
    <w:uiPriority w:val="0"/>
    <w:pPr>
      <w:ind w:firstLine="420" w:firstLineChars="200"/>
    </w:pPr>
  </w:style>
  <w:style w:type="character" w:customStyle="1" w:styleId="58">
    <w:name w:val="批注文字 Char"/>
    <w:basedOn w:val="31"/>
    <w:link w:val="8"/>
    <w:autoRedefine/>
    <w:qFormat/>
    <w:uiPriority w:val="0"/>
    <w:rPr>
      <w:kern w:val="2"/>
      <w:sz w:val="21"/>
      <w:szCs w:val="24"/>
    </w:rPr>
  </w:style>
  <w:style w:type="character" w:customStyle="1" w:styleId="59">
    <w:name w:val="批注主题 Char"/>
    <w:basedOn w:val="58"/>
    <w:link w:val="26"/>
    <w:autoRedefine/>
    <w:qFormat/>
    <w:uiPriority w:val="0"/>
    <w:rPr>
      <w:b/>
      <w:bCs/>
      <w:kern w:val="2"/>
      <w:sz w:val="21"/>
      <w:szCs w:val="24"/>
    </w:rPr>
  </w:style>
  <w:style w:type="paragraph" w:customStyle="1" w:styleId="60">
    <w:name w:val="Table Text"/>
    <w:basedOn w:val="1"/>
    <w:autoRedefine/>
    <w:semiHidden/>
    <w:qFormat/>
    <w:uiPriority w:val="0"/>
    <w:rPr>
      <w:rFonts w:ascii="宋体" w:hAnsi="宋体" w:cs="宋体"/>
      <w:szCs w:val="21"/>
      <w:lang w:eastAsia="en-US"/>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character" w:customStyle="1" w:styleId="62">
    <w:name w:val="无"/>
    <w:autoRedefine/>
    <w:qFormat/>
    <w:uiPriority w:val="0"/>
  </w:style>
  <w:style w:type="character" w:customStyle="1" w:styleId="63">
    <w:name w:val="NormalCharacter"/>
    <w:autoRedefine/>
    <w:qFormat/>
    <w:uiPriority w:val="0"/>
  </w:style>
  <w:style w:type="paragraph" w:customStyle="1" w:styleId="64">
    <w:name w:val="p15"/>
    <w:basedOn w:val="1"/>
    <w:autoRedefine/>
    <w:qFormat/>
    <w:uiPriority w:val="0"/>
    <w:pPr>
      <w:widowControl/>
      <w:pBdr>
        <w:bottom w:val="single" w:color="000000" w:sz="6" w:space="1"/>
      </w:pBdr>
      <w:jc w:val="center"/>
    </w:pPr>
    <w:rPr>
      <w:kern w:val="0"/>
      <w:sz w:val="18"/>
      <w:szCs w:val="18"/>
    </w:rPr>
  </w:style>
  <w:style w:type="character" w:customStyle="1" w:styleId="65">
    <w:name w:val="批注框文本 Char"/>
    <w:basedOn w:val="31"/>
    <w:link w:val="15"/>
    <w:autoRedefine/>
    <w:qFormat/>
    <w:uiPriority w:val="0"/>
    <w:rPr>
      <w:kern w:val="2"/>
      <w:sz w:val="18"/>
      <w:szCs w:val="18"/>
    </w:rPr>
  </w:style>
  <w:style w:type="paragraph" w:customStyle="1" w:styleId="66">
    <w:name w:val="正文缩进1"/>
    <w:basedOn w:val="1"/>
    <w:unhideWhenUsed/>
    <w:qFormat/>
    <w:uiPriority w:val="0"/>
    <w:pPr>
      <w:ind w:firstLine="420"/>
      <w:jc w:val="left"/>
    </w:pPr>
    <w:rPr>
      <w:sz w:val="24"/>
    </w:rPr>
  </w:style>
  <w:style w:type="paragraph" w:customStyle="1" w:styleId="67">
    <w:name w:val="正文文本缩进1"/>
    <w:basedOn w:val="1"/>
    <w:qFormat/>
    <w:uiPriority w:val="99"/>
    <w:pPr>
      <w:spacing w:after="120"/>
      <w:ind w:left="42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7361</Words>
  <Characters>8005</Characters>
  <Lines>158</Lines>
  <Paragraphs>44</Paragraphs>
  <TotalTime>4</TotalTime>
  <ScaleCrop>false</ScaleCrop>
  <LinksUpToDate>false</LinksUpToDate>
  <CharactersWithSpaces>8244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2024-05-31T01:24:00Z</dcterms:created>
  <dc:creator>32797</dc:creator>
  <cp:lastModifiedBy>寒夕</cp:lastModifiedBy>
  <cp:lastPrinted>2026-04-28T01:26:00Z</cp:lastPrinted>
  <dcterms:modified xsi:type="dcterms:W3CDTF">2026-06-22T02:59:13Z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437D5EB284A24F21A28BC4AEB04F3323_13</vt:lpwstr>
  </property>
  <property fmtid="{D5CDD505-2E9C-101B-9397-08002B2CF9AE}" pid="4" name="KSOTemplateDocerSaveRecord">
    <vt:lpwstr>eyJoZGlkIjoiYTdlYTg1ZTE0OGQwNWRhMTg2MmZlZmUzZjBiMjIwYjEiLCJ1c2VySWQiOiI0MzQxOTkxMzQifQ==</vt:lpwstr>
  </property>
</Properties>
</file>