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60" w:after="60" w:line="360" w:lineRule="auto"/>
        <w:ind w:firstLine="472"/>
        <w:jc w:val="center"/>
        <w:rPr>
          <w:rFonts w:ascii="宋体" w:hAnsi="宋体" w:cs="宋体"/>
          <w:b/>
          <w:bCs/>
          <w:spacing w:val="15"/>
          <w:sz w:val="44"/>
          <w:szCs w:val="44"/>
        </w:rPr>
      </w:pPr>
    </w:p>
    <w:p>
      <w:pPr>
        <w:widowControl/>
        <w:spacing w:before="60" w:after="60" w:line="360" w:lineRule="auto"/>
        <w:ind w:firstLine="472"/>
        <w:jc w:val="center"/>
        <w:rPr>
          <w:rFonts w:ascii="宋体" w:hAnsi="宋体" w:cs="宋体"/>
          <w:b/>
          <w:bCs/>
          <w:spacing w:val="15"/>
          <w:sz w:val="44"/>
          <w:szCs w:val="44"/>
        </w:rPr>
      </w:pPr>
    </w:p>
    <w:p>
      <w:pPr>
        <w:widowControl/>
        <w:spacing w:before="60" w:after="60" w:line="360" w:lineRule="auto"/>
        <w:ind w:firstLine="470"/>
        <w:jc w:val="center"/>
        <w:rPr>
          <w:rFonts w:hint="eastAsia" w:ascii="宋体" w:hAnsi="宋体" w:eastAsia="宋体" w:cs="宋体"/>
          <w:bCs/>
          <w:spacing w:val="15"/>
          <w:sz w:val="44"/>
          <w:szCs w:val="44"/>
          <w:lang w:eastAsia="zh-CN"/>
        </w:rPr>
      </w:pPr>
      <w:r>
        <w:rPr>
          <w:rFonts w:hint="eastAsia" w:ascii="宋体" w:hAnsi="宋体" w:cs="宋体"/>
          <w:bCs/>
          <w:spacing w:val="15"/>
          <w:sz w:val="44"/>
          <w:szCs w:val="44"/>
          <w:lang w:eastAsia="zh-CN"/>
        </w:rPr>
        <w:t>江苏英奇热电有限公司煤炭采购项目（</w:t>
      </w:r>
      <w:r>
        <w:rPr>
          <w:rFonts w:hint="eastAsia" w:ascii="宋体" w:hAnsi="宋体" w:cs="宋体"/>
          <w:bCs/>
          <w:spacing w:val="15"/>
          <w:sz w:val="44"/>
          <w:szCs w:val="44"/>
          <w:lang w:val="en-US" w:eastAsia="zh-CN"/>
        </w:rPr>
        <w:t>二次</w:t>
      </w:r>
      <w:r>
        <w:rPr>
          <w:rFonts w:hint="eastAsia" w:ascii="宋体" w:hAnsi="宋体" w:cs="宋体"/>
          <w:bCs/>
          <w:spacing w:val="15"/>
          <w:sz w:val="44"/>
          <w:szCs w:val="44"/>
          <w:lang w:eastAsia="zh-CN"/>
        </w:rPr>
        <w:t>）</w:t>
      </w:r>
    </w:p>
    <w:p>
      <w:pPr>
        <w:pStyle w:val="25"/>
        <w:spacing w:before="60" w:after="60"/>
        <w:ind w:firstLine="0" w:firstLineChars="0"/>
        <w:rPr>
          <w:rFonts w:ascii="宋体" w:hAnsi="宋体" w:cs="宋体"/>
          <w:sz w:val="44"/>
          <w:szCs w:val="44"/>
        </w:rPr>
      </w:pPr>
    </w:p>
    <w:p>
      <w:pPr>
        <w:pStyle w:val="25"/>
        <w:spacing w:before="60" w:after="60"/>
        <w:ind w:firstLine="440"/>
        <w:rPr>
          <w:rFonts w:ascii="宋体" w:hAnsi="宋体" w:cs="宋体"/>
          <w:sz w:val="44"/>
          <w:szCs w:val="44"/>
        </w:rPr>
      </w:pPr>
    </w:p>
    <w:p>
      <w:pPr>
        <w:spacing w:before="60" w:after="60" w:line="360" w:lineRule="auto"/>
        <w:ind w:firstLine="440"/>
        <w:jc w:val="center"/>
        <w:rPr>
          <w:rFonts w:ascii="宋体" w:hAnsi="宋体" w:cs="宋体"/>
          <w:bCs/>
          <w:sz w:val="44"/>
          <w:szCs w:val="44"/>
        </w:rPr>
      </w:pPr>
      <w:r>
        <w:rPr>
          <w:rFonts w:hint="eastAsia" w:ascii="宋体" w:hAnsi="宋体" w:cs="宋体"/>
          <w:bCs/>
          <w:sz w:val="44"/>
          <w:szCs w:val="44"/>
        </w:rPr>
        <w:t>招 标 文 件</w:t>
      </w:r>
    </w:p>
    <w:p>
      <w:pPr>
        <w:spacing w:before="60" w:after="60"/>
        <w:ind w:firstLine="300"/>
        <w:jc w:val="center"/>
        <w:rPr>
          <w:rFonts w:ascii="宋体" w:hAnsi="宋体" w:cs="宋体"/>
          <w:sz w:val="30"/>
          <w:szCs w:val="30"/>
        </w:rPr>
      </w:pPr>
    </w:p>
    <w:p>
      <w:pPr>
        <w:pStyle w:val="26"/>
        <w:spacing w:before="60" w:after="60"/>
        <w:ind w:firstLine="240"/>
      </w:pPr>
    </w:p>
    <w:p>
      <w:pPr>
        <w:spacing w:before="60" w:after="60"/>
        <w:ind w:firstLine="300"/>
        <w:jc w:val="center"/>
        <w:rPr>
          <w:rFonts w:ascii="宋体" w:hAnsi="宋体" w:cs="宋体"/>
          <w:sz w:val="30"/>
          <w:szCs w:val="30"/>
        </w:rPr>
      </w:pPr>
      <w:r>
        <w:rPr>
          <w:rFonts w:hint="eastAsia" w:ascii="宋体" w:hAnsi="宋体" w:cs="宋体"/>
          <w:sz w:val="30"/>
          <w:szCs w:val="30"/>
        </w:rPr>
        <w:t>项目编号：XSX-GQCG-202604013</w:t>
      </w:r>
    </w:p>
    <w:p>
      <w:pPr>
        <w:spacing w:before="60" w:after="60" w:line="360" w:lineRule="auto"/>
        <w:ind w:firstLine="440"/>
        <w:jc w:val="center"/>
        <w:rPr>
          <w:rFonts w:ascii="宋体" w:hAnsi="宋体" w:cs="宋体"/>
          <w:sz w:val="44"/>
          <w:szCs w:val="44"/>
        </w:rPr>
      </w:pPr>
    </w:p>
    <w:p>
      <w:pPr>
        <w:spacing w:before="60" w:after="60" w:line="360" w:lineRule="auto"/>
        <w:ind w:firstLine="440"/>
        <w:jc w:val="center"/>
        <w:rPr>
          <w:rFonts w:ascii="宋体" w:hAnsi="宋体" w:cs="宋体"/>
          <w:sz w:val="44"/>
          <w:szCs w:val="44"/>
        </w:rPr>
      </w:pPr>
    </w:p>
    <w:p>
      <w:pPr>
        <w:pStyle w:val="25"/>
        <w:spacing w:before="60" w:after="60"/>
        <w:ind w:firstLine="440"/>
        <w:rPr>
          <w:rFonts w:ascii="宋体" w:hAnsi="宋体" w:cs="宋体"/>
          <w:sz w:val="44"/>
          <w:szCs w:val="44"/>
        </w:rPr>
      </w:pPr>
    </w:p>
    <w:p>
      <w:pPr>
        <w:pStyle w:val="25"/>
        <w:spacing w:before="60" w:after="60"/>
        <w:ind w:firstLine="440"/>
        <w:rPr>
          <w:rFonts w:ascii="宋体" w:hAnsi="宋体" w:cs="宋体"/>
          <w:sz w:val="44"/>
          <w:szCs w:val="44"/>
        </w:rPr>
      </w:pPr>
    </w:p>
    <w:p>
      <w:pPr>
        <w:spacing w:before="60" w:after="60" w:line="360" w:lineRule="auto"/>
        <w:ind w:firstLine="320"/>
        <w:rPr>
          <w:rFonts w:ascii="宋体" w:hAnsi="宋体" w:cs="宋体"/>
          <w:bCs/>
          <w:sz w:val="32"/>
          <w:szCs w:val="32"/>
        </w:rPr>
      </w:pPr>
    </w:p>
    <w:p>
      <w:pPr>
        <w:pStyle w:val="26"/>
        <w:spacing w:before="60" w:after="60"/>
        <w:ind w:firstLine="240"/>
      </w:pPr>
    </w:p>
    <w:p>
      <w:pPr>
        <w:pStyle w:val="49"/>
        <w:rPr>
          <w:color w:val="auto"/>
        </w:rPr>
      </w:pPr>
    </w:p>
    <w:p>
      <w:pPr>
        <w:spacing w:line="360" w:lineRule="auto"/>
        <w:ind w:left="1050" w:leftChars="500"/>
        <w:rPr>
          <w:rFonts w:ascii="宋体" w:hAnsi="宋体" w:cs="宋体"/>
          <w:bCs/>
          <w:sz w:val="32"/>
          <w:szCs w:val="32"/>
        </w:rPr>
      </w:pPr>
      <w:r>
        <w:rPr>
          <w:rFonts w:hint="eastAsia" w:ascii="宋体" w:hAnsi="宋体" w:cs="宋体"/>
          <w:bCs/>
          <w:sz w:val="32"/>
          <w:szCs w:val="32"/>
        </w:rPr>
        <w:t>采 购 人：</w:t>
      </w:r>
      <w:r>
        <w:rPr>
          <w:rFonts w:hint="eastAsia" w:ascii="宋体" w:hAnsi="宋体" w:cs="宋体"/>
          <w:bCs/>
          <w:sz w:val="32"/>
          <w:szCs w:val="32"/>
          <w:u w:val="single"/>
        </w:rPr>
        <w:t xml:space="preserve">江苏英奇热电有限公司     </w:t>
      </w:r>
      <w:r>
        <w:rPr>
          <w:rFonts w:hint="eastAsia" w:ascii="宋体" w:hAnsi="宋体" w:cs="宋体"/>
          <w:bCs/>
          <w:sz w:val="32"/>
          <w:szCs w:val="32"/>
        </w:rPr>
        <w:t>（盖章）</w:t>
      </w:r>
    </w:p>
    <w:p>
      <w:pPr>
        <w:pStyle w:val="7"/>
        <w:spacing w:line="360" w:lineRule="auto"/>
        <w:ind w:left="1050" w:leftChars="500"/>
        <w:jc w:val="both"/>
        <w:rPr>
          <w:rFonts w:ascii="宋体" w:hAnsi="宋体" w:eastAsia="宋体" w:cs="宋体"/>
          <w:bCs/>
          <w:sz w:val="32"/>
          <w:szCs w:val="32"/>
        </w:rPr>
      </w:pPr>
      <w:r>
        <w:rPr>
          <w:rFonts w:hint="eastAsia" w:ascii="宋体" w:hAnsi="宋体" w:eastAsia="宋体" w:cs="宋体"/>
          <w:bCs/>
          <w:sz w:val="32"/>
          <w:szCs w:val="32"/>
        </w:rPr>
        <w:t>代理机构：</w:t>
      </w:r>
      <w:r>
        <w:rPr>
          <w:rFonts w:hint="eastAsia" w:ascii="宋体" w:hAnsi="宋体" w:eastAsia="宋体" w:cs="宋体"/>
          <w:bCs/>
          <w:sz w:val="32"/>
          <w:szCs w:val="32"/>
          <w:u w:val="single"/>
        </w:rPr>
        <w:t>盐城润威项目管理有限公司</w:t>
      </w:r>
      <w:r>
        <w:rPr>
          <w:rFonts w:hint="eastAsia" w:ascii="宋体" w:hAnsi="宋体" w:eastAsia="宋体" w:cs="宋体"/>
          <w:bCs/>
          <w:sz w:val="32"/>
          <w:szCs w:val="32"/>
        </w:rPr>
        <w:t>（盖章）</w:t>
      </w:r>
    </w:p>
    <w:p>
      <w:pPr>
        <w:pStyle w:val="11"/>
        <w:spacing w:line="360" w:lineRule="auto"/>
        <w:jc w:val="center"/>
        <w:rPr>
          <w:rFonts w:eastAsia="宋体" w:cs="宋体"/>
          <w:bCs/>
          <w:sz w:val="32"/>
          <w:szCs w:val="32"/>
        </w:rPr>
      </w:pPr>
      <w:r>
        <w:rPr>
          <w:rFonts w:hint="eastAsia" w:eastAsia="宋体" w:cs="宋体"/>
          <w:bCs/>
          <w:sz w:val="32"/>
          <w:szCs w:val="32"/>
        </w:rPr>
        <w:t>日   期：二〇二</w:t>
      </w:r>
      <w:r>
        <w:rPr>
          <w:rFonts w:hint="eastAsia" w:eastAsia="宋体" w:cs="宋体"/>
          <w:bCs/>
          <w:sz w:val="32"/>
          <w:szCs w:val="32"/>
          <w:lang w:val="en-US" w:eastAsia="zh-CN"/>
        </w:rPr>
        <w:t>六</w:t>
      </w:r>
      <w:r>
        <w:rPr>
          <w:rFonts w:hint="eastAsia" w:eastAsia="宋体" w:cs="宋体"/>
          <w:bCs/>
          <w:sz w:val="32"/>
          <w:szCs w:val="32"/>
        </w:rPr>
        <w:t>年</w:t>
      </w:r>
      <w:r>
        <w:rPr>
          <w:rFonts w:hint="eastAsia" w:eastAsia="宋体" w:cs="宋体"/>
          <w:bCs/>
          <w:sz w:val="32"/>
          <w:szCs w:val="32"/>
          <w:lang w:val="en-US" w:eastAsia="zh-CN"/>
        </w:rPr>
        <w:t>六</w:t>
      </w:r>
      <w:r>
        <w:rPr>
          <w:rFonts w:hint="eastAsia" w:eastAsia="宋体" w:cs="宋体"/>
          <w:bCs/>
          <w:sz w:val="32"/>
          <w:szCs w:val="32"/>
        </w:rPr>
        <w:t>月</w:t>
      </w:r>
    </w:p>
    <w:p>
      <w:pPr>
        <w:spacing w:before="60" w:after="60"/>
        <w:rPr>
          <w:rFonts w:ascii="宋体" w:hAnsi="宋体" w:cs="宋体"/>
          <w:sz w:val="24"/>
        </w:rPr>
        <w:sectPr>
          <w:headerReference r:id="rId5" w:type="first"/>
          <w:headerReference r:id="rId3" w:type="default"/>
          <w:headerReference r:id="rId4" w:type="even"/>
          <w:footerReference r:id="rId6" w:type="even"/>
          <w:pgSz w:w="11906" w:h="16838"/>
          <w:pgMar w:top="1440" w:right="1797" w:bottom="1440" w:left="1797" w:header="851" w:footer="992" w:gutter="0"/>
          <w:pgNumType w:start="0"/>
          <w:cols w:space="720" w:num="1"/>
          <w:titlePg/>
          <w:docGrid w:linePitch="312" w:charSpace="0"/>
        </w:sectPr>
      </w:pPr>
    </w:p>
    <w:p>
      <w:pPr>
        <w:spacing w:before="78" w:beforeLines="25" w:after="78" w:afterLines="25"/>
        <w:ind w:firstLine="281"/>
        <w:jc w:val="center"/>
        <w:rPr>
          <w:rFonts w:ascii="宋体" w:hAnsi="宋体" w:cs="宋体"/>
          <w:b/>
          <w:bCs/>
          <w:sz w:val="20"/>
          <w:szCs w:val="20"/>
        </w:rPr>
      </w:pPr>
      <w:r>
        <w:rPr>
          <w:rFonts w:hint="eastAsia" w:ascii="宋体" w:hAnsi="宋体" w:cs="宋体"/>
          <w:b/>
          <w:bCs/>
          <w:sz w:val="28"/>
          <w:szCs w:val="28"/>
        </w:rPr>
        <w:t>目录</w:t>
      </w:r>
    </w:p>
    <w:p>
      <w:pPr>
        <w:pStyle w:val="17"/>
        <w:tabs>
          <w:tab w:val="right" w:leader="dot" w:pos="8306"/>
        </w:tabs>
        <w:spacing w:before="0" w:after="0" w:line="360" w:lineRule="auto"/>
        <w:rPr>
          <w:b w:val="0"/>
        </w:rPr>
      </w:pPr>
      <w:r>
        <w:rPr>
          <w:rFonts w:hint="eastAsia" w:ascii="宋体" w:hAnsi="宋体" w:cs="宋体"/>
          <w:b w:val="0"/>
          <w:bCs w:val="0"/>
          <w:sz w:val="24"/>
          <w:szCs w:val="24"/>
        </w:rPr>
        <w:fldChar w:fldCharType="begin"/>
      </w:r>
      <w:r>
        <w:rPr>
          <w:rFonts w:hint="eastAsia" w:ascii="宋体" w:hAnsi="宋体" w:cs="宋体"/>
          <w:b w:val="0"/>
          <w:bCs w:val="0"/>
          <w:sz w:val="24"/>
          <w:szCs w:val="24"/>
        </w:rPr>
        <w:instrText xml:space="preserve">TOC \o "1-2" \h \u </w:instrText>
      </w:r>
      <w:r>
        <w:rPr>
          <w:rFonts w:hint="eastAsia" w:ascii="宋体" w:hAnsi="宋体" w:cs="宋体"/>
          <w:b w:val="0"/>
          <w:bCs w:val="0"/>
          <w:sz w:val="24"/>
          <w:szCs w:val="24"/>
        </w:rPr>
        <w:fldChar w:fldCharType="separate"/>
      </w:r>
      <w:r>
        <w:fldChar w:fldCharType="begin"/>
      </w:r>
      <w:r>
        <w:instrText xml:space="preserve"> HYPERLINK \l "_Toc2681" </w:instrText>
      </w:r>
      <w:r>
        <w:fldChar w:fldCharType="separate"/>
      </w:r>
      <w:r>
        <w:rPr>
          <w:rFonts w:hint="eastAsia" w:ascii="宋体" w:hAnsi="宋体" w:cs="宋体"/>
          <w:b w:val="0"/>
          <w:szCs w:val="44"/>
        </w:rPr>
        <w:t>第一章  招标公告</w:t>
      </w:r>
      <w:r>
        <w:rPr>
          <w:b w:val="0"/>
        </w:rPr>
        <w:tab/>
      </w:r>
      <w:r>
        <w:rPr>
          <w:b w:val="0"/>
        </w:rPr>
        <w:fldChar w:fldCharType="begin"/>
      </w:r>
      <w:r>
        <w:rPr>
          <w:b w:val="0"/>
        </w:rPr>
        <w:instrText xml:space="preserve"> PAGEREF _Toc2681 \h </w:instrText>
      </w:r>
      <w:r>
        <w:rPr>
          <w:b w:val="0"/>
        </w:rPr>
        <w:fldChar w:fldCharType="separate"/>
      </w:r>
      <w:r>
        <w:rPr>
          <w:b w:val="0"/>
        </w:rPr>
        <w:t>1</w:t>
      </w:r>
      <w:r>
        <w:rPr>
          <w:b w:val="0"/>
        </w:rPr>
        <w:fldChar w:fldCharType="end"/>
      </w:r>
      <w:r>
        <w:rPr>
          <w:b w:val="0"/>
        </w:rPr>
        <w:fldChar w:fldCharType="end"/>
      </w:r>
    </w:p>
    <w:p>
      <w:pPr>
        <w:pStyle w:val="17"/>
        <w:tabs>
          <w:tab w:val="right" w:leader="dot" w:pos="8306"/>
        </w:tabs>
        <w:spacing w:before="0" w:after="0" w:line="360" w:lineRule="auto"/>
        <w:rPr>
          <w:b w:val="0"/>
        </w:rPr>
      </w:pPr>
      <w:r>
        <w:fldChar w:fldCharType="begin"/>
      </w:r>
      <w:r>
        <w:instrText xml:space="preserve"> HYPERLINK \l "_Toc6636" </w:instrText>
      </w:r>
      <w:r>
        <w:fldChar w:fldCharType="separate"/>
      </w:r>
      <w:r>
        <w:rPr>
          <w:rFonts w:hint="eastAsia" w:ascii="宋体" w:hAnsi="宋体" w:cs="宋体"/>
          <w:b w:val="0"/>
          <w:szCs w:val="44"/>
        </w:rPr>
        <w:t>第二章  投标人须知</w:t>
      </w:r>
      <w:r>
        <w:rPr>
          <w:b w:val="0"/>
        </w:rPr>
        <w:tab/>
      </w:r>
      <w:r>
        <w:rPr>
          <w:b w:val="0"/>
        </w:rPr>
        <w:fldChar w:fldCharType="begin"/>
      </w:r>
      <w:r>
        <w:rPr>
          <w:b w:val="0"/>
        </w:rPr>
        <w:instrText xml:space="preserve"> PAGEREF _Toc6636 \h </w:instrText>
      </w:r>
      <w:r>
        <w:rPr>
          <w:b w:val="0"/>
        </w:rPr>
        <w:fldChar w:fldCharType="separate"/>
      </w:r>
      <w:r>
        <w:rPr>
          <w:b w:val="0"/>
        </w:rPr>
        <w:t>5</w:t>
      </w:r>
      <w:r>
        <w:rPr>
          <w:b w:val="0"/>
        </w:rPr>
        <w:fldChar w:fldCharType="end"/>
      </w:r>
      <w:r>
        <w:rPr>
          <w:b w:val="0"/>
        </w:rPr>
        <w:fldChar w:fldCharType="end"/>
      </w:r>
    </w:p>
    <w:p>
      <w:pPr>
        <w:pStyle w:val="17"/>
        <w:tabs>
          <w:tab w:val="right" w:leader="dot" w:pos="8306"/>
        </w:tabs>
        <w:spacing w:before="0" w:after="0" w:line="360" w:lineRule="auto"/>
        <w:rPr>
          <w:b w:val="0"/>
        </w:rPr>
      </w:pPr>
      <w:r>
        <w:fldChar w:fldCharType="begin"/>
      </w:r>
      <w:r>
        <w:instrText xml:space="preserve"> HYPERLINK \l "_Toc20442" </w:instrText>
      </w:r>
      <w:r>
        <w:fldChar w:fldCharType="separate"/>
      </w:r>
      <w:r>
        <w:rPr>
          <w:rFonts w:hint="eastAsia" w:ascii="宋体" w:hAnsi="宋体" w:cs="宋体"/>
          <w:b w:val="0"/>
          <w:szCs w:val="44"/>
        </w:rPr>
        <w:t>第三章  项目需求</w:t>
      </w:r>
      <w:r>
        <w:rPr>
          <w:b w:val="0"/>
        </w:rPr>
        <w:tab/>
      </w:r>
      <w:r>
        <w:rPr>
          <w:b w:val="0"/>
        </w:rPr>
        <w:fldChar w:fldCharType="begin"/>
      </w:r>
      <w:r>
        <w:rPr>
          <w:b w:val="0"/>
        </w:rPr>
        <w:instrText xml:space="preserve"> PAGEREF _Toc20442 \h </w:instrText>
      </w:r>
      <w:r>
        <w:rPr>
          <w:b w:val="0"/>
        </w:rPr>
        <w:fldChar w:fldCharType="separate"/>
      </w:r>
      <w:r>
        <w:rPr>
          <w:b w:val="0"/>
        </w:rPr>
        <w:t>19</w:t>
      </w:r>
      <w:r>
        <w:rPr>
          <w:b w:val="0"/>
        </w:rPr>
        <w:fldChar w:fldCharType="end"/>
      </w:r>
      <w:r>
        <w:rPr>
          <w:b w:val="0"/>
        </w:rPr>
        <w:fldChar w:fldCharType="end"/>
      </w:r>
    </w:p>
    <w:p>
      <w:pPr>
        <w:pStyle w:val="17"/>
        <w:tabs>
          <w:tab w:val="right" w:leader="dot" w:pos="8306"/>
        </w:tabs>
        <w:spacing w:before="0" w:after="0" w:line="360" w:lineRule="auto"/>
        <w:rPr>
          <w:b w:val="0"/>
        </w:rPr>
      </w:pPr>
      <w:r>
        <w:fldChar w:fldCharType="begin"/>
      </w:r>
      <w:r>
        <w:instrText xml:space="preserve"> HYPERLINK \l "_Toc4275" </w:instrText>
      </w:r>
      <w:r>
        <w:fldChar w:fldCharType="separate"/>
      </w:r>
      <w:r>
        <w:rPr>
          <w:rFonts w:hint="eastAsia" w:ascii="宋体" w:hAnsi="宋体" w:cs="宋体"/>
          <w:b w:val="0"/>
          <w:szCs w:val="44"/>
        </w:rPr>
        <w:t>第四章  合同主要条款</w:t>
      </w:r>
      <w:r>
        <w:rPr>
          <w:b w:val="0"/>
        </w:rPr>
        <w:tab/>
      </w:r>
      <w:r>
        <w:rPr>
          <w:b w:val="0"/>
        </w:rPr>
        <w:fldChar w:fldCharType="begin"/>
      </w:r>
      <w:r>
        <w:rPr>
          <w:b w:val="0"/>
        </w:rPr>
        <w:instrText xml:space="preserve"> PAGEREF _Toc4275 \h </w:instrText>
      </w:r>
      <w:r>
        <w:rPr>
          <w:b w:val="0"/>
        </w:rPr>
        <w:fldChar w:fldCharType="separate"/>
      </w:r>
      <w:r>
        <w:rPr>
          <w:b w:val="0"/>
        </w:rPr>
        <w:t>22</w:t>
      </w:r>
      <w:r>
        <w:rPr>
          <w:b w:val="0"/>
        </w:rPr>
        <w:fldChar w:fldCharType="end"/>
      </w:r>
      <w:r>
        <w:rPr>
          <w:b w:val="0"/>
        </w:rPr>
        <w:fldChar w:fldCharType="end"/>
      </w:r>
    </w:p>
    <w:p>
      <w:pPr>
        <w:pStyle w:val="17"/>
        <w:tabs>
          <w:tab w:val="right" w:leader="dot" w:pos="8306"/>
        </w:tabs>
        <w:spacing w:before="0" w:after="0" w:line="360" w:lineRule="auto"/>
        <w:rPr>
          <w:b w:val="0"/>
        </w:rPr>
      </w:pPr>
      <w:r>
        <w:fldChar w:fldCharType="begin"/>
      </w:r>
      <w:r>
        <w:instrText xml:space="preserve"> HYPERLINK \l "_Toc20961" </w:instrText>
      </w:r>
      <w:r>
        <w:fldChar w:fldCharType="separate"/>
      </w:r>
      <w:r>
        <w:rPr>
          <w:rFonts w:hint="eastAsia" w:ascii="宋体" w:hAnsi="宋体" w:cs="宋体"/>
          <w:b w:val="0"/>
          <w:szCs w:val="44"/>
        </w:rPr>
        <w:t>第五章  投标文件格式</w:t>
      </w:r>
      <w:r>
        <w:rPr>
          <w:b w:val="0"/>
        </w:rPr>
        <w:tab/>
      </w:r>
      <w:r>
        <w:rPr>
          <w:b w:val="0"/>
        </w:rPr>
        <w:fldChar w:fldCharType="begin"/>
      </w:r>
      <w:r>
        <w:rPr>
          <w:b w:val="0"/>
        </w:rPr>
        <w:instrText xml:space="preserve"> PAGEREF _Toc20961 \h </w:instrText>
      </w:r>
      <w:r>
        <w:rPr>
          <w:b w:val="0"/>
        </w:rPr>
        <w:fldChar w:fldCharType="separate"/>
      </w:r>
      <w:r>
        <w:rPr>
          <w:b w:val="0"/>
        </w:rPr>
        <w:t>27</w:t>
      </w:r>
      <w:r>
        <w:rPr>
          <w:b w:val="0"/>
        </w:rPr>
        <w:fldChar w:fldCharType="end"/>
      </w:r>
      <w:r>
        <w:rPr>
          <w:b w:val="0"/>
        </w:rPr>
        <w:fldChar w:fldCharType="end"/>
      </w:r>
    </w:p>
    <w:p>
      <w:pPr>
        <w:spacing w:line="360" w:lineRule="auto"/>
        <w:ind w:firstLine="240"/>
        <w:jc w:val="center"/>
        <w:rPr>
          <w:rFonts w:ascii="宋体" w:hAnsi="宋体" w:cs="宋体"/>
          <w:b/>
          <w:bCs/>
          <w:sz w:val="24"/>
        </w:rPr>
        <w:sectPr>
          <w:footerReference r:id="rId7" w:type="default"/>
          <w:pgSz w:w="11906" w:h="16838"/>
          <w:pgMar w:top="1440" w:right="1800" w:bottom="1440" w:left="1800" w:header="851" w:footer="992" w:gutter="0"/>
          <w:pgNumType w:start="1"/>
          <w:cols w:space="720" w:num="1"/>
          <w:docGrid w:type="lines" w:linePitch="312" w:charSpace="0"/>
        </w:sectPr>
      </w:pPr>
      <w:r>
        <w:rPr>
          <w:rFonts w:hint="eastAsia" w:ascii="宋体" w:hAnsi="宋体" w:cs="宋体"/>
          <w:bCs/>
        </w:rPr>
        <w:fldChar w:fldCharType="end"/>
      </w:r>
    </w:p>
    <w:p>
      <w:pPr>
        <w:numPr>
          <w:ilvl w:val="0"/>
          <w:numId w:val="3"/>
        </w:numPr>
        <w:spacing w:line="360" w:lineRule="auto"/>
        <w:jc w:val="center"/>
        <w:outlineLvl w:val="0"/>
        <w:rPr>
          <w:rFonts w:ascii="宋体" w:hAnsi="宋体" w:cs="宋体"/>
          <w:b/>
          <w:sz w:val="28"/>
          <w:szCs w:val="28"/>
        </w:rPr>
      </w:pPr>
      <w:bookmarkStart w:id="0" w:name="_Toc2681"/>
      <w:bookmarkStart w:id="1" w:name="_Toc6639"/>
      <w:bookmarkStart w:id="2" w:name="_Toc954"/>
      <w:r>
        <w:rPr>
          <w:rFonts w:hint="eastAsia" w:ascii="宋体" w:hAnsi="宋体" w:cs="宋体"/>
          <w:b/>
          <w:sz w:val="28"/>
          <w:szCs w:val="28"/>
        </w:rPr>
        <w:t xml:space="preserve"> 招标公告</w:t>
      </w:r>
      <w:bookmarkEnd w:id="0"/>
      <w:bookmarkEnd w:id="1"/>
      <w:bookmarkEnd w:id="2"/>
    </w:p>
    <w:p>
      <w:pPr>
        <w:pStyle w:val="23"/>
        <w:spacing w:before="150" w:beforeAutospacing="0" w:line="480" w:lineRule="auto"/>
        <w:ind w:firstLine="420"/>
      </w:pPr>
      <w:r>
        <w:rPr>
          <w:kern w:val="2"/>
        </w:rPr>
        <w:t>（本项目由采购人自行组织实施，响水县公共资源交易中心仅代采购人发布公告，不参加该项目的采购活动）</w:t>
      </w:r>
    </w:p>
    <w:p>
      <w:pPr>
        <w:pBdr>
          <w:top w:val="single" w:color="auto" w:sz="4" w:space="1"/>
          <w:left w:val="single" w:color="auto" w:sz="4" w:space="4"/>
          <w:bottom w:val="single" w:color="auto" w:sz="4" w:space="1"/>
          <w:right w:val="single" w:color="auto" w:sz="4" w:space="4"/>
        </w:pBdr>
        <w:spacing w:before="78" w:beforeLines="25" w:after="78" w:afterLines="25" w:line="420" w:lineRule="exact"/>
        <w:rPr>
          <w:rFonts w:ascii="宋体" w:hAnsi="宋体" w:cs="宋体"/>
          <w:sz w:val="24"/>
        </w:rPr>
      </w:pPr>
      <w:r>
        <w:rPr>
          <w:rFonts w:hint="eastAsia" w:ascii="宋体" w:hAnsi="宋体" w:cs="宋体"/>
          <w:sz w:val="24"/>
        </w:rPr>
        <w:t>项目概况</w:t>
      </w:r>
    </w:p>
    <w:p>
      <w:pPr>
        <w:pBdr>
          <w:top w:val="single" w:color="auto" w:sz="4" w:space="1"/>
          <w:left w:val="single" w:color="auto" w:sz="4" w:space="4"/>
          <w:bottom w:val="single" w:color="auto" w:sz="4" w:space="1"/>
          <w:right w:val="single" w:color="auto" w:sz="4" w:space="4"/>
        </w:pBdr>
        <w:spacing w:before="78" w:beforeLines="25" w:after="78" w:afterLines="25" w:line="420" w:lineRule="exact"/>
        <w:ind w:firstLine="240" w:firstLineChars="100"/>
        <w:rPr>
          <w:rFonts w:ascii="宋体" w:hAnsi="宋体" w:cs="宋体"/>
          <w:sz w:val="24"/>
        </w:rPr>
      </w:pPr>
      <w:r>
        <w:rPr>
          <w:rFonts w:hint="eastAsia" w:ascii="宋体" w:hAnsi="宋体" w:cs="宋体"/>
          <w:sz w:val="24"/>
          <w:u w:val="single"/>
          <w:lang w:eastAsia="zh-CN"/>
        </w:rPr>
        <w:t>江苏英奇热电有限公司煤炭采购项目（二次）</w:t>
      </w:r>
      <w:r>
        <w:rPr>
          <w:rFonts w:hint="eastAsia" w:ascii="宋体" w:hAnsi="宋体" w:cs="宋体"/>
          <w:sz w:val="24"/>
        </w:rPr>
        <w:t>的潜在投标人应在响水县人民政府网（</w:t>
      </w:r>
      <w:r>
        <w:rPr>
          <w:rFonts w:hint="eastAsia" w:asciiTheme="minorEastAsia" w:hAnsiTheme="minorEastAsia" w:eastAsiaTheme="minorEastAsia"/>
          <w:sz w:val="24"/>
          <w:u w:val="single"/>
        </w:rPr>
        <w:fldChar w:fldCharType="begin"/>
      </w:r>
      <w:r>
        <w:rPr>
          <w:rFonts w:hint="eastAsia" w:asciiTheme="minorEastAsia" w:hAnsiTheme="minorEastAsia" w:eastAsiaTheme="minorEastAsia"/>
          <w:sz w:val="24"/>
          <w:u w:val="single"/>
        </w:rPr>
        <w:instrText xml:space="preserve"> HYPERLINK "http://www.xiangshui.gov.cn/）获取招标文件，并于2025年4月" </w:instrText>
      </w:r>
      <w:r>
        <w:rPr>
          <w:rFonts w:hint="eastAsia" w:asciiTheme="minorEastAsia" w:hAnsiTheme="minorEastAsia" w:eastAsiaTheme="minorEastAsia"/>
          <w:sz w:val="24"/>
          <w:u w:val="single"/>
        </w:rPr>
        <w:fldChar w:fldCharType="separate"/>
      </w:r>
      <w:r>
        <w:rPr>
          <w:rFonts w:hint="eastAsia" w:asciiTheme="minorEastAsia" w:hAnsiTheme="minorEastAsia" w:eastAsiaTheme="minorEastAsia"/>
          <w:sz w:val="24"/>
          <w:u w:val="single"/>
        </w:rPr>
        <w:t>http://www.xiangshui.gov.cn/）获取招标文件，并于202</w:t>
      </w:r>
      <w:r>
        <w:rPr>
          <w:rFonts w:hint="eastAsia" w:asciiTheme="minorEastAsia" w:hAnsiTheme="minorEastAsia" w:eastAsiaTheme="minorEastAsia"/>
          <w:sz w:val="24"/>
          <w:u w:val="single"/>
          <w:lang w:val="en-US" w:eastAsia="zh-CN"/>
        </w:rPr>
        <w:t>6</w:t>
      </w:r>
      <w:r>
        <w:rPr>
          <w:rFonts w:hint="eastAsia" w:asciiTheme="minorEastAsia" w:hAnsiTheme="minorEastAsia" w:eastAsiaTheme="minorEastAsia"/>
          <w:sz w:val="24"/>
          <w:u w:val="single"/>
        </w:rPr>
        <w:t>年</w:t>
      </w:r>
      <w:r>
        <w:rPr>
          <w:rFonts w:hint="eastAsia" w:asciiTheme="minorEastAsia" w:hAnsiTheme="minorEastAsia" w:eastAsiaTheme="minorEastAsia"/>
          <w:sz w:val="24"/>
          <w:u w:val="single"/>
          <w:lang w:val="en-US" w:eastAsia="zh-CN"/>
        </w:rPr>
        <w:t>6</w:t>
      </w:r>
      <w:r>
        <w:rPr>
          <w:rFonts w:hint="eastAsia" w:asciiTheme="minorEastAsia" w:hAnsiTheme="minorEastAsia" w:eastAsiaTheme="minorEastAsia"/>
          <w:sz w:val="24"/>
          <w:u w:val="single"/>
        </w:rPr>
        <w:t>月</w:t>
      </w:r>
      <w:r>
        <w:rPr>
          <w:rFonts w:hint="eastAsia" w:asciiTheme="minorEastAsia" w:hAnsiTheme="minorEastAsia" w:eastAsiaTheme="minorEastAsia"/>
          <w:sz w:val="24"/>
          <w:u w:val="single"/>
        </w:rPr>
        <w:fldChar w:fldCharType="end"/>
      </w:r>
      <w:r>
        <w:rPr>
          <w:rFonts w:hint="eastAsia" w:asciiTheme="minorEastAsia" w:hAnsiTheme="minorEastAsia" w:eastAsiaTheme="minorEastAsia"/>
          <w:sz w:val="24"/>
          <w:u w:val="single"/>
          <w:lang w:val="en-US" w:eastAsia="zh-CN"/>
        </w:rPr>
        <w:t>29</w:t>
      </w:r>
      <w:r>
        <w:rPr>
          <w:rFonts w:hint="eastAsia" w:cs="Times New Roman" w:asciiTheme="minorEastAsia" w:hAnsiTheme="minorEastAsia" w:eastAsiaTheme="minorEastAsia"/>
          <w:sz w:val="24"/>
          <w:u w:val="single"/>
        </w:rPr>
        <w:t>日</w:t>
      </w:r>
      <w:r>
        <w:rPr>
          <w:rFonts w:hint="eastAsia" w:cs="Times New Roman" w:asciiTheme="minorEastAsia" w:hAnsiTheme="minorEastAsia" w:eastAsiaTheme="minorEastAsia"/>
          <w:sz w:val="24"/>
          <w:u w:val="single"/>
          <w:lang w:val="en-US" w:eastAsia="zh-CN"/>
        </w:rPr>
        <w:t>15</w:t>
      </w:r>
      <w:r>
        <w:rPr>
          <w:rFonts w:hint="eastAsia" w:ascii="宋体" w:hAnsi="宋体" w:cs="宋体"/>
          <w:sz w:val="24"/>
          <w:u w:val="single"/>
        </w:rPr>
        <w:t>点00分</w:t>
      </w:r>
      <w:r>
        <w:rPr>
          <w:rFonts w:hint="eastAsia" w:ascii="宋体" w:hAnsi="宋体" w:cs="宋体"/>
          <w:bCs/>
          <w:sz w:val="24"/>
        </w:rPr>
        <w:t>（北京时间）前递交投标文件</w:t>
      </w:r>
      <w:r>
        <w:rPr>
          <w:rFonts w:hint="eastAsia" w:ascii="宋体" w:hAnsi="宋体" w:cs="宋体"/>
          <w:sz w:val="24"/>
        </w:rPr>
        <w:t>。</w:t>
      </w:r>
    </w:p>
    <w:p>
      <w:pPr>
        <w:widowControl/>
        <w:spacing w:line="360" w:lineRule="auto"/>
        <w:rPr>
          <w:rFonts w:hint="eastAsia" w:ascii="宋体" w:hAnsi="宋体" w:eastAsia="宋体" w:cs="宋体"/>
          <w:b/>
          <w:kern w:val="0"/>
          <w:sz w:val="24"/>
          <w:lang w:eastAsia="zh-CN"/>
        </w:rPr>
      </w:pPr>
      <w:r>
        <w:rPr>
          <w:rFonts w:hint="eastAsia" w:ascii="宋体" w:hAnsi="宋体" w:cs="宋体"/>
          <w:b/>
          <w:kern w:val="0"/>
          <w:sz w:val="24"/>
        </w:rPr>
        <w:t>一、项目基本情况</w:t>
      </w:r>
      <w:r>
        <w:rPr>
          <w:rFonts w:hint="eastAsia" w:ascii="宋体" w:hAnsi="宋体" w:cs="宋体"/>
          <w:b/>
          <w:kern w:val="0"/>
          <w:sz w:val="24"/>
          <w:lang w:eastAsia="zh-CN"/>
        </w:rPr>
        <w:tab/>
      </w:r>
    </w:p>
    <w:p>
      <w:pPr>
        <w:spacing w:line="360" w:lineRule="auto"/>
        <w:ind w:firstLine="482" w:firstLineChars="200"/>
        <w:rPr>
          <w:rFonts w:ascii="宋体" w:hAnsi="宋体" w:cs="宋体"/>
          <w:sz w:val="24"/>
        </w:rPr>
      </w:pPr>
      <w:r>
        <w:rPr>
          <w:rFonts w:hint="eastAsia" w:ascii="宋体" w:hAnsi="宋体" w:cs="宋体"/>
          <w:b/>
          <w:bCs/>
          <w:sz w:val="24"/>
        </w:rPr>
        <w:t>项目编号</w:t>
      </w:r>
      <w:r>
        <w:rPr>
          <w:rFonts w:hint="eastAsia" w:ascii="宋体" w:hAnsi="宋体" w:cs="宋体"/>
          <w:sz w:val="24"/>
        </w:rPr>
        <w:t>：</w:t>
      </w:r>
      <w:r>
        <w:rPr>
          <w:rFonts w:hint="eastAsia" w:ascii="宋体" w:hAnsi="宋体" w:cs="宋体"/>
          <w:sz w:val="24"/>
          <w:highlight w:val="none"/>
        </w:rPr>
        <w:t>XSX-GQCG-202604013</w:t>
      </w:r>
    </w:p>
    <w:p>
      <w:pPr>
        <w:spacing w:line="360" w:lineRule="auto"/>
        <w:ind w:firstLine="482" w:firstLineChars="200"/>
        <w:rPr>
          <w:rFonts w:hint="eastAsia" w:ascii="宋体" w:hAnsi="宋体" w:eastAsia="宋体" w:cs="宋体"/>
          <w:sz w:val="24"/>
          <w:lang w:eastAsia="zh-CN"/>
        </w:rPr>
      </w:pPr>
      <w:r>
        <w:rPr>
          <w:rFonts w:hint="eastAsia" w:ascii="宋体" w:hAnsi="宋体" w:cs="宋体"/>
          <w:b/>
          <w:bCs/>
          <w:sz w:val="24"/>
        </w:rPr>
        <w:t>项目名称</w:t>
      </w:r>
      <w:r>
        <w:rPr>
          <w:rFonts w:hint="eastAsia" w:ascii="宋体" w:hAnsi="宋体" w:cs="宋体"/>
          <w:sz w:val="24"/>
        </w:rPr>
        <w:t>：</w:t>
      </w:r>
      <w:r>
        <w:rPr>
          <w:rFonts w:hint="eastAsia" w:ascii="宋体" w:hAnsi="宋体" w:cs="宋体"/>
          <w:sz w:val="24"/>
          <w:lang w:eastAsia="zh-CN"/>
        </w:rPr>
        <w:t>江苏英奇热电有限公司煤炭采购项目（二次）</w:t>
      </w:r>
    </w:p>
    <w:p>
      <w:pPr>
        <w:spacing w:line="360" w:lineRule="auto"/>
        <w:ind w:firstLine="482" w:firstLineChars="200"/>
        <w:rPr>
          <w:rFonts w:ascii="宋体" w:hAnsi="宋体" w:cs="宋体"/>
          <w:sz w:val="24"/>
        </w:rPr>
      </w:pPr>
      <w:r>
        <w:rPr>
          <w:rFonts w:hint="eastAsia" w:ascii="宋体" w:hAnsi="宋体" w:cs="宋体"/>
          <w:b/>
          <w:bCs/>
          <w:sz w:val="24"/>
        </w:rPr>
        <w:t>采购需求</w:t>
      </w:r>
      <w:r>
        <w:rPr>
          <w:rFonts w:hint="eastAsia" w:ascii="宋体" w:hAnsi="宋体" w:cs="宋体"/>
          <w:sz w:val="24"/>
        </w:rPr>
        <w:t>：年度采购需求约</w:t>
      </w:r>
      <w:r>
        <w:rPr>
          <w:rFonts w:hint="eastAsia" w:ascii="宋体" w:hAnsi="宋体" w:cs="宋体"/>
          <w:sz w:val="24"/>
          <w:highlight w:val="none"/>
        </w:rPr>
        <w:t>7万吨</w:t>
      </w:r>
      <w:r>
        <w:rPr>
          <w:rFonts w:hint="eastAsia" w:ascii="宋体" w:hAnsi="宋体" w:cs="宋体"/>
          <w:sz w:val="24"/>
        </w:rPr>
        <w:t>，买方根据生产需求和煤炭行情等实际情况提前5-7天通知卖方交货，结算数量以江苏英奇热电有限公司实际过磅数量为准。</w:t>
      </w:r>
    </w:p>
    <w:p>
      <w:pPr>
        <w:spacing w:line="360" w:lineRule="auto"/>
        <w:ind w:firstLine="482" w:firstLineChars="200"/>
        <w:rPr>
          <w:rFonts w:ascii="宋体" w:hAnsi="宋体" w:cs="宋体"/>
          <w:sz w:val="24"/>
        </w:rPr>
      </w:pPr>
      <w:r>
        <w:rPr>
          <w:rFonts w:ascii="宋体" w:hAnsi="宋体" w:cs="宋体"/>
          <w:b/>
          <w:bCs/>
          <w:sz w:val="24"/>
        </w:rPr>
        <w:t>合同定价方式</w:t>
      </w:r>
      <w:r>
        <w:rPr>
          <w:rFonts w:ascii="宋体" w:hAnsi="宋体" w:cs="宋体"/>
          <w:sz w:val="24"/>
        </w:rPr>
        <w:t>：A价＋B价。</w:t>
      </w:r>
    </w:p>
    <w:p>
      <w:pPr>
        <w:spacing w:line="360" w:lineRule="auto"/>
        <w:ind w:firstLine="480" w:firstLineChars="200"/>
        <w:rPr>
          <w:rFonts w:ascii="宋体" w:hAnsi="宋体" w:cs="宋体"/>
          <w:sz w:val="24"/>
          <w:highlight w:val="none"/>
        </w:rPr>
      </w:pPr>
      <w:r>
        <w:rPr>
          <w:rFonts w:ascii="宋体" w:hAnsi="宋体" w:cs="宋体"/>
          <w:sz w:val="24"/>
        </w:rPr>
        <w:t>A价为订货当日CCI</w:t>
      </w:r>
      <w:r>
        <w:rPr>
          <w:rFonts w:ascii="宋体" w:hAnsi="宋体" w:cs="宋体"/>
          <w:sz w:val="24"/>
          <w:highlight w:val="none"/>
        </w:rPr>
        <w:t>指数动力煤</w:t>
      </w:r>
      <w:r>
        <w:rPr>
          <w:rFonts w:hint="eastAsia" w:ascii="宋体" w:hAnsi="宋体" w:cs="宋体"/>
          <w:sz w:val="24"/>
          <w:highlight w:val="none"/>
          <w:lang w:val="en-US" w:eastAsia="zh-CN"/>
        </w:rPr>
        <w:t>50</w:t>
      </w:r>
      <w:r>
        <w:rPr>
          <w:rFonts w:ascii="宋体" w:hAnsi="宋体" w:cs="宋体"/>
          <w:sz w:val="24"/>
          <w:highlight w:val="none"/>
        </w:rPr>
        <w:t>00大卡均价，</w:t>
      </w:r>
    </w:p>
    <w:p>
      <w:pPr>
        <w:spacing w:line="360" w:lineRule="auto"/>
        <w:ind w:firstLine="480" w:firstLineChars="200"/>
        <w:rPr>
          <w:rFonts w:ascii="宋体" w:hAnsi="宋体" w:cs="宋体"/>
          <w:sz w:val="24"/>
          <w:highlight w:val="none"/>
        </w:rPr>
      </w:pPr>
      <w:r>
        <w:rPr>
          <w:rFonts w:ascii="宋体" w:hAnsi="宋体" w:cs="宋体"/>
          <w:sz w:val="24"/>
          <w:highlight w:val="none"/>
        </w:rPr>
        <w:t>B价包括买方运费、港口费、吨位和大卡损耗、税金、买方资金成本及利润。</w:t>
      </w:r>
    </w:p>
    <w:p>
      <w:pPr>
        <w:spacing w:line="360" w:lineRule="auto"/>
        <w:ind w:firstLine="480" w:firstLineChars="200"/>
        <w:rPr>
          <w:rFonts w:ascii="宋体" w:hAnsi="宋体" w:cs="宋体"/>
          <w:sz w:val="24"/>
          <w:highlight w:val="none"/>
        </w:rPr>
      </w:pPr>
      <w:r>
        <w:rPr>
          <w:rFonts w:ascii="宋体" w:hAnsi="宋体" w:cs="宋体"/>
          <w:sz w:val="24"/>
          <w:highlight w:val="none"/>
        </w:rPr>
        <w:t>A价为固定价格，卖方对B价进行核算报价。此价格为到英奇热电煤库一票制13%含税价。</w:t>
      </w:r>
    </w:p>
    <w:p>
      <w:pPr>
        <w:spacing w:line="360" w:lineRule="auto"/>
        <w:ind w:firstLine="480" w:firstLineChars="200"/>
        <w:rPr>
          <w:rFonts w:ascii="宋体" w:hAnsi="宋体" w:cs="宋体"/>
          <w:sz w:val="24"/>
        </w:rPr>
      </w:pPr>
      <w:r>
        <w:rPr>
          <w:rFonts w:ascii="宋体" w:hAnsi="宋体" w:cs="宋体"/>
          <w:sz w:val="24"/>
          <w:highlight w:val="none"/>
        </w:rPr>
        <w:t>B价最高限价为：</w:t>
      </w:r>
      <w:r>
        <w:rPr>
          <w:rFonts w:hint="eastAsia" w:ascii="宋体" w:hAnsi="宋体" w:cs="宋体"/>
          <w:b/>
          <w:bCs/>
          <w:color w:val="000000" w:themeColor="text1"/>
          <w:sz w:val="24"/>
          <w:highlight w:val="none"/>
          <w:lang w:val="en-US" w:eastAsia="zh-CN"/>
          <w14:textFill>
            <w14:solidFill>
              <w14:schemeClr w14:val="tx1"/>
            </w14:solidFill>
          </w14:textFill>
        </w:rPr>
        <w:t>14</w:t>
      </w:r>
      <w:r>
        <w:rPr>
          <w:rFonts w:hint="eastAsia" w:ascii="宋体" w:hAnsi="宋体" w:cs="宋体"/>
          <w:b/>
          <w:bCs/>
          <w:color w:val="000000" w:themeColor="text1"/>
          <w:sz w:val="24"/>
          <w:highlight w:val="none"/>
          <w14:textFill>
            <w14:solidFill>
              <w14:schemeClr w14:val="tx1"/>
            </w14:solidFill>
          </w14:textFill>
        </w:rPr>
        <w:t>0</w:t>
      </w:r>
      <w:r>
        <w:rPr>
          <w:rFonts w:ascii="宋体" w:hAnsi="宋体" w:cs="宋体"/>
          <w:color w:val="000000" w:themeColor="text1"/>
          <w:sz w:val="24"/>
          <w:highlight w:val="none"/>
          <w14:textFill>
            <w14:solidFill>
              <w14:schemeClr w14:val="tx1"/>
            </w14:solidFill>
          </w14:textFill>
        </w:rPr>
        <w:t>元</w:t>
      </w:r>
      <w:r>
        <w:rPr>
          <w:rFonts w:ascii="宋体" w:hAnsi="宋体" w:cs="宋体"/>
          <w:sz w:val="24"/>
          <w:highlight w:val="none"/>
        </w:rPr>
        <w:t xml:space="preserve"> ，超</w:t>
      </w:r>
      <w:r>
        <w:rPr>
          <w:rFonts w:ascii="宋体" w:hAnsi="宋体" w:cs="宋体"/>
          <w:sz w:val="24"/>
        </w:rPr>
        <w:t>过最高限价为无效标。</w:t>
      </w:r>
    </w:p>
    <w:p>
      <w:pPr>
        <w:spacing w:line="360" w:lineRule="auto"/>
        <w:ind w:firstLine="482" w:firstLineChars="200"/>
        <w:rPr>
          <w:rFonts w:ascii="宋体" w:hAnsi="宋体" w:cs="宋体"/>
          <w:sz w:val="24"/>
        </w:rPr>
      </w:pPr>
      <w:r>
        <w:rPr>
          <w:rFonts w:hint="eastAsia" w:ascii="宋体" w:hAnsi="宋体" w:cs="宋体"/>
          <w:b/>
          <w:bCs/>
          <w:sz w:val="24"/>
        </w:rPr>
        <w:t>供货期</w:t>
      </w:r>
      <w:r>
        <w:rPr>
          <w:rFonts w:hint="eastAsia" w:ascii="宋体" w:hAnsi="宋体" w:cs="宋体"/>
          <w:sz w:val="24"/>
        </w:rPr>
        <w:t>：12个月。</w:t>
      </w:r>
    </w:p>
    <w:p>
      <w:pPr>
        <w:spacing w:line="360" w:lineRule="auto"/>
        <w:ind w:firstLine="482" w:firstLineChars="200"/>
        <w:rPr>
          <w:rFonts w:ascii="宋体" w:hAnsi="宋体" w:cs="宋体"/>
          <w:b/>
          <w:bCs/>
          <w:sz w:val="24"/>
        </w:rPr>
      </w:pPr>
      <w:r>
        <w:rPr>
          <w:rFonts w:hint="eastAsia" w:ascii="宋体" w:hAnsi="宋体" w:cs="宋体"/>
          <w:b/>
          <w:bCs/>
          <w:sz w:val="24"/>
        </w:rPr>
        <w:t>交货期限：</w:t>
      </w:r>
      <w:r>
        <w:rPr>
          <w:rFonts w:hint="eastAsia" w:ascii="宋体" w:hAnsi="宋体" w:cs="宋体"/>
          <w:sz w:val="24"/>
        </w:rPr>
        <w:t>下单之日起开始计算7天内到齐。</w:t>
      </w:r>
    </w:p>
    <w:p>
      <w:pPr>
        <w:spacing w:line="360" w:lineRule="auto"/>
        <w:ind w:firstLine="482" w:firstLineChars="200"/>
        <w:rPr>
          <w:rFonts w:ascii="宋体" w:hAnsi="宋体" w:cs="宋体"/>
          <w:sz w:val="24"/>
        </w:rPr>
      </w:pPr>
      <w:r>
        <w:rPr>
          <w:rFonts w:hint="eastAsia" w:ascii="宋体" w:hAnsi="宋体" w:cs="宋体"/>
          <w:b/>
          <w:bCs/>
          <w:sz w:val="24"/>
        </w:rPr>
        <w:t>交货地点</w:t>
      </w:r>
      <w:r>
        <w:rPr>
          <w:rFonts w:hint="eastAsia" w:ascii="宋体" w:hAnsi="宋体" w:cs="宋体"/>
          <w:sz w:val="24"/>
        </w:rPr>
        <w:t>：江苏英奇热电有限公司煤库。</w:t>
      </w:r>
    </w:p>
    <w:p>
      <w:pPr>
        <w:spacing w:line="360" w:lineRule="auto"/>
        <w:rPr>
          <w:rFonts w:hint="eastAsia" w:ascii="宋体" w:hAnsi="宋体" w:eastAsia="宋体" w:cs="宋体"/>
          <w:b/>
          <w:bCs/>
          <w:sz w:val="24"/>
          <w:lang w:eastAsia="zh-CN"/>
        </w:rPr>
      </w:pPr>
      <w:bookmarkStart w:id="3" w:name="_Toc35393791"/>
      <w:bookmarkStart w:id="4" w:name="_Toc35393622"/>
      <w:bookmarkStart w:id="5" w:name="_Toc28359003"/>
      <w:bookmarkStart w:id="6" w:name="_Toc28359080"/>
      <w:r>
        <w:rPr>
          <w:rFonts w:hint="eastAsia" w:ascii="宋体" w:hAnsi="宋体" w:cs="宋体"/>
          <w:b/>
          <w:bCs/>
          <w:sz w:val="24"/>
        </w:rPr>
        <w:t>二、申请人的资格要求</w:t>
      </w:r>
      <w:bookmarkEnd w:id="3"/>
      <w:bookmarkEnd w:id="4"/>
      <w:bookmarkEnd w:id="5"/>
      <w:bookmarkEnd w:id="6"/>
    </w:p>
    <w:p>
      <w:pPr>
        <w:spacing w:line="360" w:lineRule="auto"/>
        <w:ind w:firstLine="600" w:firstLineChars="250"/>
        <w:rPr>
          <w:rFonts w:hint="eastAsia" w:ascii="宋体" w:hAnsi="宋体" w:cs="宋体"/>
          <w:sz w:val="24"/>
          <w:szCs w:val="24"/>
        </w:rPr>
      </w:pPr>
      <w:bookmarkStart w:id="7" w:name="_Toc35393623"/>
      <w:bookmarkStart w:id="8" w:name="_Toc35393792"/>
      <w:r>
        <w:rPr>
          <w:rFonts w:hint="eastAsia" w:ascii="宋体" w:hAnsi="宋体" w:cs="宋体"/>
          <w:sz w:val="24"/>
          <w:szCs w:val="24"/>
        </w:rPr>
        <w:t>1.满足《中华人民共和国政府采购法》第二十二条规定，并提供下列材料；</w:t>
      </w:r>
    </w:p>
    <w:p>
      <w:pPr>
        <w:adjustRightInd w:val="0"/>
        <w:snapToGrid w:val="0"/>
        <w:spacing w:line="360" w:lineRule="auto"/>
        <w:ind w:firstLine="480" w:firstLineChars="200"/>
        <w:rPr>
          <w:rStyle w:val="50"/>
          <w:rFonts w:hint="eastAsia" w:ascii="宋体" w:hAnsi="宋体" w:cs="宋体"/>
          <w:sz w:val="24"/>
        </w:rPr>
      </w:pPr>
      <w:r>
        <w:rPr>
          <w:rStyle w:val="50"/>
          <w:rFonts w:hint="eastAsia" w:ascii="宋体" w:hAnsi="宋体" w:cs="宋体"/>
          <w:sz w:val="24"/>
        </w:rPr>
        <w:t>（1）法人或者其他组织的营业执照等证明文件，自然人的身份证明；</w:t>
      </w:r>
    </w:p>
    <w:p>
      <w:pPr>
        <w:adjustRightInd w:val="0"/>
        <w:snapToGrid w:val="0"/>
        <w:spacing w:line="360" w:lineRule="auto"/>
        <w:ind w:firstLine="480" w:firstLineChars="200"/>
        <w:rPr>
          <w:rStyle w:val="50"/>
          <w:rFonts w:hint="eastAsia" w:ascii="宋体" w:hAnsi="宋体" w:cs="宋体"/>
          <w:color w:val="FF0000"/>
          <w:sz w:val="24"/>
        </w:rPr>
      </w:pPr>
      <w:r>
        <w:rPr>
          <w:rStyle w:val="50"/>
          <w:rFonts w:hint="eastAsia" w:ascii="宋体" w:hAnsi="宋体" w:cs="宋体"/>
          <w:sz w:val="24"/>
        </w:rPr>
        <w:t>（2）上一年度的财务状况报告（</w:t>
      </w:r>
      <w:r>
        <w:rPr>
          <w:rStyle w:val="50"/>
          <w:rFonts w:hint="eastAsia" w:ascii="宋体" w:hAnsi="宋体" w:cs="宋体"/>
          <w:color w:val="FF0000"/>
          <w:sz w:val="24"/>
        </w:rPr>
        <w:t>至少提供资产负债表、利润表，投标人成立不满一年无需提供）；</w:t>
      </w:r>
    </w:p>
    <w:p>
      <w:pPr>
        <w:adjustRightInd w:val="0"/>
        <w:snapToGrid w:val="0"/>
        <w:spacing w:line="360" w:lineRule="auto"/>
        <w:ind w:firstLine="480" w:firstLineChars="200"/>
        <w:rPr>
          <w:rStyle w:val="50"/>
          <w:rFonts w:ascii="宋体" w:hAnsi="宋体" w:cs="宋体"/>
          <w:sz w:val="24"/>
          <w:highlight w:val="yellow"/>
        </w:rPr>
      </w:pPr>
      <w:r>
        <w:rPr>
          <w:rStyle w:val="50"/>
          <w:rFonts w:hint="eastAsia" w:ascii="宋体" w:hAnsi="宋体" w:cs="宋体"/>
          <w:sz w:val="24"/>
        </w:rPr>
        <w:t>（3）依法缴纳税收和社会保障资金的相关材料</w:t>
      </w:r>
      <w:r>
        <w:rPr>
          <w:rStyle w:val="50"/>
          <w:rFonts w:hint="eastAsia" w:ascii="宋体" w:hAnsi="宋体" w:cs="宋体"/>
          <w:color w:val="FF0000"/>
          <w:sz w:val="24"/>
        </w:rPr>
        <w:t>（提供提交投标文件截止时间前</w:t>
      </w:r>
      <w:r>
        <w:rPr>
          <w:rStyle w:val="50"/>
          <w:rFonts w:hint="eastAsia" w:ascii="宋体" w:hAnsi="宋体" w:cs="宋体"/>
          <w:color w:val="FF0000"/>
          <w:sz w:val="24"/>
          <w:lang w:val="en-US" w:eastAsia="zh-CN"/>
        </w:rPr>
        <w:t>三个月</w:t>
      </w:r>
      <w:r>
        <w:rPr>
          <w:rStyle w:val="50"/>
          <w:rFonts w:hint="eastAsia" w:ascii="宋体" w:hAnsi="宋体" w:cs="宋体"/>
          <w:color w:val="FF0000"/>
          <w:sz w:val="24"/>
        </w:rPr>
        <w:t>内至少一个月依法缴纳税收及缴纳社会保障资金的证明材料。投标人依法享受缓缴、免缴税收、社会保障资金的提供证明材料）</w:t>
      </w:r>
      <w:r>
        <w:rPr>
          <w:rStyle w:val="50"/>
          <w:rFonts w:hint="eastAsia" w:ascii="宋体" w:hAnsi="宋体" w:cs="宋体"/>
          <w:sz w:val="24"/>
        </w:rPr>
        <w:t>；</w:t>
      </w:r>
    </w:p>
    <w:p>
      <w:pPr>
        <w:adjustRightInd w:val="0"/>
        <w:snapToGrid w:val="0"/>
        <w:spacing w:line="360" w:lineRule="auto"/>
        <w:ind w:firstLine="480" w:firstLineChars="200"/>
        <w:rPr>
          <w:rStyle w:val="50"/>
          <w:rFonts w:ascii="宋体" w:hAnsi="宋体" w:cs="宋体"/>
          <w:sz w:val="24"/>
        </w:rPr>
      </w:pPr>
      <w:r>
        <w:rPr>
          <w:rStyle w:val="50"/>
          <w:rFonts w:hint="eastAsia" w:ascii="宋体" w:hAnsi="宋体" w:cs="宋体"/>
          <w:sz w:val="24"/>
        </w:rPr>
        <w:t>（4）具备履行合同所必需的设备和专业技术能力的书面声明；</w:t>
      </w:r>
    </w:p>
    <w:p>
      <w:pPr>
        <w:adjustRightInd w:val="0"/>
        <w:snapToGrid w:val="0"/>
        <w:spacing w:line="360" w:lineRule="auto"/>
        <w:ind w:firstLine="480" w:firstLineChars="200"/>
        <w:rPr>
          <w:rStyle w:val="50"/>
          <w:rFonts w:hint="eastAsia" w:ascii="宋体" w:hAnsi="宋体" w:cs="宋体"/>
          <w:sz w:val="24"/>
        </w:rPr>
      </w:pPr>
      <w:r>
        <w:rPr>
          <w:rStyle w:val="50"/>
          <w:rFonts w:hint="eastAsia" w:ascii="宋体" w:hAnsi="宋体" w:cs="宋体"/>
          <w:sz w:val="24"/>
        </w:rPr>
        <w:t>（5）参加政府采购活动前3年内在经营活动中没有重大违法记录的书面声明；</w:t>
      </w:r>
    </w:p>
    <w:p>
      <w:pPr>
        <w:adjustRightInd w:val="0"/>
        <w:snapToGrid w:val="0"/>
        <w:spacing w:line="360" w:lineRule="auto"/>
        <w:ind w:firstLine="480" w:firstLineChars="200"/>
        <w:rPr>
          <w:rStyle w:val="50"/>
          <w:rFonts w:hint="eastAsia" w:ascii="宋体" w:hAnsi="宋体" w:cs="宋体"/>
          <w:sz w:val="24"/>
        </w:rPr>
      </w:pPr>
      <w:r>
        <w:rPr>
          <w:rStyle w:val="50"/>
          <w:rFonts w:hint="eastAsia" w:ascii="宋体" w:hAnsi="宋体" w:cs="宋体"/>
          <w:sz w:val="24"/>
        </w:rPr>
        <w:t>（6）法律、行政法规规定的其他条件；</w:t>
      </w:r>
    </w:p>
    <w:p>
      <w:pPr>
        <w:adjustRightInd w:val="0"/>
        <w:snapToGrid w:val="0"/>
        <w:spacing w:line="360" w:lineRule="auto"/>
        <w:ind w:firstLine="480" w:firstLineChars="200"/>
        <w:rPr>
          <w:rStyle w:val="50"/>
          <w:rFonts w:hint="eastAsia" w:ascii="宋体" w:hAnsi="宋体" w:cs="宋体"/>
          <w:sz w:val="24"/>
        </w:rPr>
      </w:pPr>
      <w:r>
        <w:rPr>
          <w:rStyle w:val="50"/>
          <w:rFonts w:hint="eastAsia" w:ascii="宋体" w:hAnsi="宋体" w:cs="宋体"/>
          <w:sz w:val="24"/>
        </w:rPr>
        <w:t>（7）单位负责人为同一人或者存在直接控股、管理关系的不同供应商，不得参加同一合同项下的政府采购活动。（投标时提供承诺，格式自拟）</w:t>
      </w:r>
    </w:p>
    <w:p>
      <w:pPr>
        <w:spacing w:line="360" w:lineRule="auto"/>
        <w:ind w:firstLine="480" w:firstLineChars="200"/>
        <w:rPr>
          <w:rStyle w:val="50"/>
          <w:rFonts w:hint="eastAsia" w:ascii="宋体" w:hAnsi="宋体" w:cs="宋体"/>
          <w:sz w:val="24"/>
        </w:rPr>
      </w:pPr>
      <w:r>
        <w:rPr>
          <w:rStyle w:val="50"/>
          <w:rFonts w:hint="eastAsia" w:ascii="宋体" w:hAnsi="宋体" w:cs="宋体"/>
          <w:sz w:val="24"/>
        </w:rPr>
        <w:t>（8）在“信用中国”网站查询，未被列入失信被执行人、重大税收违法失信主体名单、严重失信主体名单及其他不符合《中华人民共和国政府采购法》第二十二条规定条件的信用记录；</w:t>
      </w:r>
    </w:p>
    <w:p>
      <w:pPr>
        <w:adjustRightInd/>
        <w:snapToGrid/>
        <w:spacing w:line="360" w:lineRule="auto"/>
        <w:ind w:firstLine="480" w:firstLineChars="200"/>
        <w:rPr>
          <w:rStyle w:val="50"/>
          <w:rFonts w:hint="eastAsia" w:ascii="宋体" w:hAnsi="宋体" w:cs="宋体"/>
          <w:sz w:val="24"/>
        </w:rPr>
      </w:pPr>
      <w:r>
        <w:rPr>
          <w:rFonts w:hint="eastAsia" w:ascii="宋体" w:hAnsi="宋体" w:cs="宋体"/>
          <w:kern w:val="0"/>
          <w:sz w:val="24"/>
        </w:rPr>
        <w:t>（</w:t>
      </w:r>
      <w:r>
        <w:rPr>
          <w:rFonts w:hint="eastAsia" w:ascii="宋体" w:hAnsi="宋体" w:cs="宋体"/>
          <w:kern w:val="0"/>
          <w:sz w:val="24"/>
          <w:lang w:val="en-US" w:eastAsia="zh-CN"/>
        </w:rPr>
        <w:t>9</w:t>
      </w:r>
      <w:r>
        <w:rPr>
          <w:rFonts w:hint="eastAsia" w:ascii="宋体" w:hAnsi="宋体" w:cs="宋体"/>
          <w:kern w:val="0"/>
          <w:sz w:val="24"/>
        </w:rPr>
        <w:t>）本项目不接受联合体投标。</w:t>
      </w:r>
    </w:p>
    <w:p>
      <w:pPr>
        <w:ind w:firstLine="600" w:firstLineChars="250"/>
        <w:rPr>
          <w:rFonts w:hint="eastAsia"/>
        </w:rPr>
      </w:pPr>
      <w:r>
        <w:rPr>
          <w:rFonts w:hint="eastAsia" w:ascii="宋体" w:hAnsi="宋体" w:cs="宋体"/>
          <w:sz w:val="24"/>
          <w:szCs w:val="24"/>
          <w:lang w:val="en-US" w:eastAsia="zh-CN"/>
        </w:rPr>
        <w:t>2</w:t>
      </w:r>
      <w:r>
        <w:rPr>
          <w:rFonts w:hint="eastAsia" w:ascii="宋体" w:hAnsi="宋体" w:cs="宋体"/>
          <w:sz w:val="24"/>
          <w:szCs w:val="24"/>
        </w:rPr>
        <w:t>.本项目的特定资格要求：无</w:t>
      </w:r>
    </w:p>
    <w:p>
      <w:pPr>
        <w:spacing w:line="360" w:lineRule="auto"/>
        <w:rPr>
          <w:rFonts w:ascii="宋体" w:hAnsi="宋体" w:cs="宋体"/>
          <w:b/>
          <w:bCs/>
          <w:sz w:val="24"/>
        </w:rPr>
      </w:pPr>
      <w:r>
        <w:rPr>
          <w:rFonts w:hint="eastAsia" w:ascii="宋体" w:hAnsi="宋体" w:cs="宋体"/>
          <w:b/>
          <w:bCs/>
          <w:sz w:val="24"/>
        </w:rPr>
        <w:t>三、获取招标文件</w:t>
      </w:r>
      <w:bookmarkEnd w:id="7"/>
      <w:bookmarkEnd w:id="8"/>
    </w:p>
    <w:p>
      <w:pPr>
        <w:spacing w:line="360" w:lineRule="auto"/>
        <w:ind w:firstLine="240" w:firstLineChars="100"/>
        <w:rPr>
          <w:rFonts w:ascii="宋体" w:hAnsi="宋体" w:cs="宋体"/>
          <w:sz w:val="24"/>
        </w:rPr>
      </w:pPr>
      <w:bookmarkStart w:id="9" w:name="_Toc28359005"/>
      <w:bookmarkStart w:id="10" w:name="_Toc28359082"/>
      <w:bookmarkStart w:id="11" w:name="_Toc35393793"/>
      <w:bookmarkStart w:id="12" w:name="_Toc35393624"/>
      <w:r>
        <w:rPr>
          <w:rFonts w:hint="eastAsia" w:ascii="宋体" w:hAnsi="宋体" w:cs="宋体"/>
          <w:sz w:val="24"/>
        </w:rPr>
        <w:t>时间：202</w:t>
      </w:r>
      <w:r>
        <w:rPr>
          <w:rFonts w:hint="eastAsia" w:ascii="宋体" w:hAnsi="宋体" w:cs="宋体"/>
          <w:sz w:val="24"/>
          <w:lang w:val="en-US" w:eastAsia="zh-CN"/>
        </w:rPr>
        <w:t>6</w:t>
      </w:r>
      <w:r>
        <w:rPr>
          <w:rFonts w:hint="eastAsia" w:ascii="宋体" w:hAnsi="宋体" w:cs="宋体"/>
          <w:sz w:val="24"/>
        </w:rPr>
        <w:t>年</w:t>
      </w:r>
      <w:r>
        <w:rPr>
          <w:rFonts w:hint="eastAsia" w:ascii="宋体" w:hAnsi="宋体" w:cs="宋体"/>
          <w:sz w:val="24"/>
          <w:lang w:val="en-US" w:eastAsia="zh-CN"/>
        </w:rPr>
        <w:t>6</w:t>
      </w:r>
      <w:r>
        <w:rPr>
          <w:rFonts w:hint="eastAsia" w:ascii="宋体" w:hAnsi="宋体" w:cs="宋体"/>
          <w:sz w:val="24"/>
        </w:rPr>
        <w:t>月</w:t>
      </w:r>
      <w:r>
        <w:rPr>
          <w:rFonts w:hint="eastAsia" w:ascii="宋体" w:hAnsi="宋体" w:cs="宋体"/>
          <w:sz w:val="24"/>
          <w:lang w:val="en-US" w:eastAsia="zh-CN"/>
        </w:rPr>
        <w:t>5</w:t>
      </w:r>
      <w:r>
        <w:rPr>
          <w:rFonts w:hint="eastAsia" w:ascii="宋体" w:hAnsi="宋体" w:cs="宋体"/>
          <w:sz w:val="24"/>
        </w:rPr>
        <w:t>日至202</w:t>
      </w:r>
      <w:r>
        <w:rPr>
          <w:rFonts w:hint="eastAsia" w:ascii="宋体" w:hAnsi="宋体" w:cs="宋体"/>
          <w:sz w:val="24"/>
          <w:lang w:val="en-US" w:eastAsia="zh-CN"/>
        </w:rPr>
        <w:t>6</w:t>
      </w:r>
      <w:r>
        <w:rPr>
          <w:rFonts w:hint="eastAsia" w:ascii="宋体" w:hAnsi="宋体" w:cs="宋体"/>
          <w:sz w:val="24"/>
        </w:rPr>
        <w:t>年</w:t>
      </w:r>
      <w:r>
        <w:rPr>
          <w:rFonts w:hint="eastAsia" w:ascii="宋体" w:hAnsi="宋体" w:cs="宋体"/>
          <w:sz w:val="24"/>
          <w:lang w:val="en-US" w:eastAsia="zh-CN"/>
        </w:rPr>
        <w:t>6</w:t>
      </w:r>
      <w:r>
        <w:rPr>
          <w:rFonts w:hint="eastAsia" w:ascii="宋体" w:hAnsi="宋体" w:cs="宋体"/>
          <w:sz w:val="24"/>
        </w:rPr>
        <w:t>月</w:t>
      </w:r>
      <w:r>
        <w:rPr>
          <w:rFonts w:hint="eastAsia" w:ascii="宋体" w:hAnsi="宋体" w:cs="宋体"/>
          <w:sz w:val="24"/>
          <w:lang w:val="en-US" w:eastAsia="zh-CN"/>
        </w:rPr>
        <w:t>12</w:t>
      </w:r>
      <w:r>
        <w:rPr>
          <w:rFonts w:hint="eastAsia" w:ascii="宋体" w:hAnsi="宋体" w:cs="宋体"/>
          <w:sz w:val="24"/>
        </w:rPr>
        <w:t>日，每天上午08时00分至12时00分，下午14时00分至18时00分（北京时间，法定节假日除外）。</w:t>
      </w:r>
    </w:p>
    <w:p>
      <w:pPr>
        <w:spacing w:line="360" w:lineRule="auto"/>
        <w:ind w:firstLine="240" w:firstLineChars="100"/>
        <w:rPr>
          <w:rFonts w:ascii="宋体" w:hAnsi="宋体" w:cs="宋体"/>
          <w:sz w:val="24"/>
        </w:rPr>
      </w:pPr>
      <w:r>
        <w:rPr>
          <w:rFonts w:hint="eastAsia" w:ascii="宋体" w:hAnsi="宋体" w:cs="宋体"/>
          <w:sz w:val="24"/>
        </w:rPr>
        <w:t>地点：响水人民政府网（http://www.xiangshui.gov.cn/）</w:t>
      </w:r>
    </w:p>
    <w:p>
      <w:pPr>
        <w:spacing w:line="360" w:lineRule="auto"/>
        <w:ind w:firstLine="240" w:firstLineChars="100"/>
        <w:rPr>
          <w:rFonts w:ascii="宋体" w:hAnsi="宋体" w:cs="宋体"/>
          <w:sz w:val="24"/>
        </w:rPr>
      </w:pPr>
      <w:r>
        <w:rPr>
          <w:rFonts w:hint="eastAsia" w:ascii="宋体" w:hAnsi="宋体" w:cs="宋体"/>
          <w:sz w:val="24"/>
        </w:rPr>
        <w:t>方式：符合资格要求的投标人可自行登录“响水县人民政府网-招投标信息(http://www.xiangshui.gov.cn/col/col34033/index.html)“国企采购-招标公告栏”下载招标文件。</w:t>
      </w:r>
    </w:p>
    <w:p>
      <w:pPr>
        <w:spacing w:line="360" w:lineRule="auto"/>
        <w:rPr>
          <w:rFonts w:ascii="宋体" w:hAnsi="宋体" w:cs="宋体"/>
          <w:b/>
          <w:bCs/>
          <w:sz w:val="24"/>
        </w:rPr>
      </w:pPr>
      <w:r>
        <w:rPr>
          <w:rFonts w:hint="eastAsia" w:ascii="宋体" w:hAnsi="宋体" w:cs="宋体"/>
          <w:b/>
          <w:bCs/>
          <w:sz w:val="24"/>
        </w:rPr>
        <w:t>四、提交投标文件</w:t>
      </w:r>
      <w:bookmarkEnd w:id="9"/>
      <w:bookmarkEnd w:id="10"/>
      <w:r>
        <w:rPr>
          <w:rFonts w:hint="eastAsia" w:ascii="宋体" w:hAnsi="宋体" w:cs="宋体"/>
          <w:b/>
          <w:bCs/>
          <w:sz w:val="24"/>
        </w:rPr>
        <w:t>截止时间、开标时间和地点</w:t>
      </w:r>
      <w:bookmarkEnd w:id="11"/>
      <w:bookmarkEnd w:id="12"/>
    </w:p>
    <w:p>
      <w:pPr>
        <w:spacing w:line="360" w:lineRule="auto"/>
        <w:ind w:firstLine="480" w:firstLineChars="200"/>
        <w:rPr>
          <w:rFonts w:hint="eastAsia" w:ascii="宋体" w:hAnsi="宋体" w:eastAsia="宋体" w:cs="宋体"/>
          <w:bCs/>
          <w:sz w:val="24"/>
          <w:u w:val="single"/>
          <w:lang w:val="en-US" w:eastAsia="zh-CN"/>
        </w:rPr>
      </w:pPr>
      <w:r>
        <w:rPr>
          <w:rFonts w:hint="eastAsia" w:ascii="宋体" w:hAnsi="宋体" w:cs="宋体"/>
          <w:bCs/>
          <w:sz w:val="24"/>
        </w:rPr>
        <w:t>提交投标文件截止时间：</w:t>
      </w:r>
      <w:r>
        <w:rPr>
          <w:rFonts w:hint="eastAsia" w:ascii="宋体" w:hAnsi="宋体" w:cs="宋体"/>
          <w:b/>
          <w:bCs/>
          <w:sz w:val="24"/>
        </w:rPr>
        <w:t>202</w:t>
      </w:r>
      <w:r>
        <w:rPr>
          <w:rFonts w:hint="eastAsia" w:ascii="宋体" w:hAnsi="宋体" w:cs="宋体"/>
          <w:b/>
          <w:bCs/>
          <w:sz w:val="24"/>
          <w:lang w:val="en-US" w:eastAsia="zh-CN"/>
        </w:rPr>
        <w:t>6</w:t>
      </w:r>
      <w:r>
        <w:rPr>
          <w:rFonts w:hint="eastAsia" w:ascii="宋体" w:hAnsi="宋体" w:cs="宋体"/>
          <w:b/>
          <w:bCs/>
          <w:sz w:val="24"/>
        </w:rPr>
        <w:t>年</w:t>
      </w:r>
      <w:r>
        <w:rPr>
          <w:rFonts w:hint="eastAsia" w:ascii="宋体" w:hAnsi="宋体" w:cs="宋体"/>
          <w:b/>
          <w:bCs/>
          <w:sz w:val="24"/>
          <w:lang w:val="en-US" w:eastAsia="zh-CN"/>
        </w:rPr>
        <w:t>6</w:t>
      </w:r>
      <w:r>
        <w:rPr>
          <w:rFonts w:hint="eastAsia" w:ascii="宋体" w:hAnsi="宋体" w:cs="宋体"/>
          <w:b/>
          <w:bCs/>
          <w:sz w:val="24"/>
        </w:rPr>
        <w:t>月</w:t>
      </w:r>
      <w:r>
        <w:rPr>
          <w:rFonts w:hint="eastAsia" w:ascii="宋体" w:hAnsi="宋体" w:cs="宋体"/>
          <w:b/>
          <w:bCs/>
          <w:sz w:val="24"/>
          <w:lang w:val="en-US" w:eastAsia="zh-CN"/>
        </w:rPr>
        <w:t>29</w:t>
      </w:r>
      <w:r>
        <w:rPr>
          <w:rFonts w:hint="eastAsia" w:ascii="宋体" w:hAnsi="宋体" w:cs="宋体"/>
          <w:b/>
          <w:bCs/>
          <w:sz w:val="24"/>
        </w:rPr>
        <w:t>日</w:t>
      </w:r>
      <w:r>
        <w:rPr>
          <w:rFonts w:hint="eastAsia" w:ascii="宋体" w:hAnsi="宋体" w:cs="宋体"/>
          <w:b/>
          <w:bCs/>
          <w:sz w:val="24"/>
          <w:lang w:val="en-US" w:eastAsia="zh-CN"/>
        </w:rPr>
        <w:t>15</w:t>
      </w:r>
      <w:r>
        <w:rPr>
          <w:rFonts w:hint="eastAsia" w:ascii="宋体" w:hAnsi="宋体" w:cs="宋体"/>
          <w:b/>
          <w:bCs/>
          <w:sz w:val="24"/>
        </w:rPr>
        <w:t>点00分（北京时间）</w:t>
      </w:r>
      <w:r>
        <w:rPr>
          <w:rFonts w:hint="eastAsia" w:ascii="宋体" w:hAnsi="宋体" w:cs="宋体"/>
          <w:b/>
          <w:bCs/>
          <w:sz w:val="24"/>
          <w:lang w:eastAsia="zh-CN"/>
        </w:rPr>
        <w:t>。</w:t>
      </w:r>
    </w:p>
    <w:p>
      <w:pPr>
        <w:spacing w:line="360" w:lineRule="auto"/>
        <w:ind w:firstLine="480" w:firstLineChars="200"/>
        <w:rPr>
          <w:rFonts w:ascii="宋体" w:hAnsi="宋体" w:cs="宋体"/>
          <w:sz w:val="24"/>
        </w:rPr>
      </w:pPr>
      <w:bookmarkStart w:id="13" w:name="_Toc28359007"/>
      <w:bookmarkStart w:id="14" w:name="_Toc28359084"/>
      <w:bookmarkStart w:id="15" w:name="_Toc35393625"/>
      <w:bookmarkStart w:id="16" w:name="_Toc35393794"/>
      <w:r>
        <w:rPr>
          <w:rFonts w:hint="eastAsia" w:ascii="宋体" w:hAnsi="宋体" w:cs="宋体"/>
          <w:sz w:val="24"/>
        </w:rPr>
        <w:t>开标时间：</w:t>
      </w:r>
      <w:r>
        <w:rPr>
          <w:rFonts w:hint="eastAsia" w:ascii="宋体" w:hAnsi="宋体" w:cs="宋体"/>
          <w:b/>
          <w:bCs/>
          <w:sz w:val="24"/>
        </w:rPr>
        <w:t>202</w:t>
      </w:r>
      <w:r>
        <w:rPr>
          <w:rFonts w:hint="eastAsia" w:ascii="宋体" w:hAnsi="宋体" w:cs="宋体"/>
          <w:b/>
          <w:bCs/>
          <w:sz w:val="24"/>
          <w:lang w:val="en-US" w:eastAsia="zh-CN"/>
        </w:rPr>
        <w:t>6</w:t>
      </w:r>
      <w:r>
        <w:rPr>
          <w:rFonts w:hint="eastAsia" w:ascii="宋体" w:hAnsi="宋体" w:cs="宋体"/>
          <w:b/>
          <w:bCs/>
          <w:sz w:val="24"/>
        </w:rPr>
        <w:t>年</w:t>
      </w:r>
      <w:r>
        <w:rPr>
          <w:rFonts w:hint="eastAsia" w:ascii="宋体" w:hAnsi="宋体" w:cs="宋体"/>
          <w:b/>
          <w:bCs/>
          <w:sz w:val="24"/>
          <w:lang w:val="en-US" w:eastAsia="zh-CN"/>
        </w:rPr>
        <w:t>6</w:t>
      </w:r>
      <w:r>
        <w:rPr>
          <w:rFonts w:hint="eastAsia" w:ascii="宋体" w:hAnsi="宋体" w:cs="宋体"/>
          <w:b/>
          <w:bCs/>
          <w:sz w:val="24"/>
        </w:rPr>
        <w:t>月</w:t>
      </w:r>
      <w:r>
        <w:rPr>
          <w:rFonts w:hint="eastAsia" w:ascii="宋体" w:hAnsi="宋体" w:cs="宋体"/>
          <w:b/>
          <w:bCs/>
          <w:sz w:val="24"/>
          <w:lang w:val="en-US" w:eastAsia="zh-CN"/>
        </w:rPr>
        <w:t>29</w:t>
      </w:r>
      <w:r>
        <w:rPr>
          <w:rFonts w:hint="eastAsia" w:ascii="宋体" w:hAnsi="宋体" w:cs="宋体"/>
          <w:b/>
          <w:bCs/>
          <w:sz w:val="24"/>
        </w:rPr>
        <w:t>日</w:t>
      </w:r>
      <w:r>
        <w:rPr>
          <w:rFonts w:hint="eastAsia" w:ascii="宋体" w:hAnsi="宋体" w:cs="宋体"/>
          <w:b/>
          <w:bCs/>
          <w:sz w:val="24"/>
          <w:lang w:val="en-US" w:eastAsia="zh-CN"/>
        </w:rPr>
        <w:t>15</w:t>
      </w:r>
      <w:r>
        <w:rPr>
          <w:rFonts w:hint="eastAsia" w:ascii="宋体" w:hAnsi="宋体" w:cs="宋体"/>
          <w:b/>
          <w:bCs/>
          <w:sz w:val="24"/>
        </w:rPr>
        <w:t>点00分（北京时间）</w:t>
      </w:r>
      <w:r>
        <w:rPr>
          <w:rFonts w:hint="eastAsia" w:ascii="宋体" w:hAnsi="宋体" w:cs="宋体"/>
          <w:b/>
          <w:bCs/>
          <w:sz w:val="24"/>
          <w:lang w:eastAsia="zh-CN"/>
        </w:rPr>
        <w:t>。</w:t>
      </w:r>
    </w:p>
    <w:p>
      <w:pPr>
        <w:spacing w:line="360" w:lineRule="auto"/>
        <w:ind w:firstLine="480" w:firstLineChars="200"/>
        <w:rPr>
          <w:rFonts w:ascii="宋体" w:hAnsi="宋体" w:cs="宋体"/>
          <w:sz w:val="24"/>
        </w:rPr>
      </w:pPr>
      <w:r>
        <w:rPr>
          <w:rFonts w:hint="eastAsia" w:ascii="宋体" w:hAnsi="宋体" w:cs="宋体"/>
          <w:sz w:val="24"/>
        </w:rPr>
        <w:t>投标地点：上传加密的投标文件至采购人指定邮箱：</w:t>
      </w:r>
      <w:r>
        <w:rPr>
          <w:rFonts w:ascii="宋体" w:hAnsi="宋体" w:cs="宋体"/>
          <w:b/>
          <w:bCs/>
          <w:sz w:val="24"/>
          <w:u w:val="single"/>
        </w:rPr>
        <w:t>1123394051@qq.com</w:t>
      </w:r>
      <w:r>
        <w:rPr>
          <w:rFonts w:hint="eastAsia" w:ascii="宋体" w:hAnsi="宋体" w:cs="宋体"/>
          <w:sz w:val="24"/>
        </w:rPr>
        <w:t>。</w:t>
      </w:r>
    </w:p>
    <w:p>
      <w:pPr>
        <w:widowControl/>
        <w:tabs>
          <w:tab w:val="left" w:pos="900"/>
        </w:tabs>
        <w:spacing w:line="360" w:lineRule="auto"/>
        <w:ind w:firstLine="480" w:firstLineChars="200"/>
        <w:rPr>
          <w:rFonts w:ascii="宋体" w:hAnsi="宋体" w:cs="宋体"/>
          <w:sz w:val="24"/>
        </w:rPr>
      </w:pPr>
      <w:r>
        <w:rPr>
          <w:rFonts w:hint="eastAsia" w:ascii="宋体" w:hAnsi="宋体" w:cs="宋体"/>
          <w:sz w:val="24"/>
        </w:rPr>
        <w:t>开标地点：网上开标，</w:t>
      </w:r>
      <w:r>
        <w:rPr>
          <w:rFonts w:hint="eastAsia" w:ascii="宋体" w:hAnsi="宋体" w:cs="宋体"/>
          <w:b/>
          <w:bCs/>
          <w:sz w:val="24"/>
          <w:highlight w:val="none"/>
        </w:rPr>
        <w:t>腾讯会议号：</w:t>
      </w:r>
      <w:r>
        <w:rPr>
          <w:rFonts w:hint="eastAsia" w:ascii="宋体" w:hAnsi="宋体" w:cs="宋体"/>
          <w:b/>
          <w:bCs/>
          <w:sz w:val="24"/>
          <w:highlight w:val="cyan"/>
          <w:u w:val="single"/>
          <w:lang w:val="en-US" w:eastAsia="zh-CN"/>
        </w:rPr>
        <w:t>437-457-926</w:t>
      </w:r>
      <w:r>
        <w:rPr>
          <w:rFonts w:hint="eastAsia" w:ascii="宋体" w:hAnsi="宋体" w:cs="宋体"/>
          <w:sz w:val="24"/>
          <w:highlight w:val="cyan"/>
        </w:rPr>
        <w:t>。</w:t>
      </w:r>
    </w:p>
    <w:p>
      <w:pPr>
        <w:pStyle w:val="49"/>
        <w:adjustRightInd/>
        <w:spacing w:line="360" w:lineRule="auto"/>
        <w:rPr>
          <w:rFonts w:eastAsia="宋体"/>
          <w:b/>
          <w:bCs/>
          <w:color w:val="auto"/>
          <w:kern w:val="2"/>
        </w:rPr>
      </w:pPr>
      <w:r>
        <w:rPr>
          <w:rFonts w:hint="eastAsia" w:eastAsia="宋体"/>
          <w:b/>
          <w:bCs/>
          <w:color w:val="auto"/>
          <w:kern w:val="2"/>
        </w:rPr>
        <w:t>五、公告期限</w:t>
      </w:r>
      <w:bookmarkEnd w:id="13"/>
      <w:bookmarkEnd w:id="14"/>
      <w:bookmarkEnd w:id="15"/>
      <w:bookmarkEnd w:id="16"/>
    </w:p>
    <w:p>
      <w:pPr>
        <w:spacing w:line="360" w:lineRule="auto"/>
        <w:ind w:firstLine="240" w:firstLineChars="100"/>
        <w:rPr>
          <w:rFonts w:ascii="宋体" w:hAnsi="宋体" w:cs="宋体"/>
          <w:kern w:val="0"/>
          <w:sz w:val="24"/>
        </w:rPr>
      </w:pPr>
      <w:r>
        <w:rPr>
          <w:rFonts w:hint="eastAsia" w:ascii="宋体" w:hAnsi="宋体" w:cs="宋体"/>
          <w:kern w:val="0"/>
          <w:sz w:val="24"/>
        </w:rPr>
        <w:t>自本公告发布之日起5个工作日。</w:t>
      </w:r>
    </w:p>
    <w:p>
      <w:pPr>
        <w:spacing w:line="360" w:lineRule="auto"/>
        <w:rPr>
          <w:rFonts w:ascii="宋体" w:hAnsi="宋体" w:cs="宋体"/>
          <w:b/>
          <w:bCs/>
          <w:sz w:val="24"/>
        </w:rPr>
      </w:pPr>
      <w:r>
        <w:rPr>
          <w:rFonts w:hint="eastAsia" w:ascii="宋体" w:hAnsi="宋体" w:cs="宋体"/>
          <w:b/>
          <w:bCs/>
          <w:sz w:val="24"/>
        </w:rPr>
        <w:t>六、投标保证金及履约保证金</w:t>
      </w:r>
    </w:p>
    <w:p>
      <w:pPr>
        <w:spacing w:line="360" w:lineRule="auto"/>
        <w:ind w:firstLine="240" w:firstLineChars="100"/>
        <w:rPr>
          <w:rFonts w:ascii="宋体" w:hAnsi="宋体" w:cs="宋体"/>
          <w:sz w:val="24"/>
        </w:rPr>
      </w:pPr>
      <w:r>
        <w:rPr>
          <w:rFonts w:hint="eastAsia" w:ascii="宋体" w:hAnsi="宋体" w:cs="宋体"/>
          <w:sz w:val="24"/>
        </w:rPr>
        <w:t>投标人在投标前需缴</w:t>
      </w:r>
      <w:r>
        <w:rPr>
          <w:rFonts w:hint="eastAsia" w:ascii="宋体" w:hAnsi="宋体" w:cs="宋体"/>
          <w:b/>
          <w:bCs/>
          <w:sz w:val="24"/>
          <w:highlight w:val="none"/>
        </w:rPr>
        <w:t>纳壹佰万元</w:t>
      </w:r>
      <w:r>
        <w:rPr>
          <w:rFonts w:hint="eastAsia" w:ascii="宋体" w:hAnsi="宋体" w:cs="宋体"/>
          <w:b w:val="0"/>
          <w:bCs w:val="0"/>
          <w:sz w:val="24"/>
          <w:highlight w:val="none"/>
        </w:rPr>
        <w:t>人</w:t>
      </w:r>
      <w:r>
        <w:rPr>
          <w:rFonts w:hint="eastAsia" w:ascii="宋体" w:hAnsi="宋体" w:cs="宋体"/>
          <w:sz w:val="24"/>
        </w:rPr>
        <w:t>民币作为投标保证金，在投标截至时间前必须到达买方账户，否则报价无效。</w:t>
      </w:r>
    </w:p>
    <w:p>
      <w:pPr>
        <w:spacing w:line="360" w:lineRule="auto"/>
        <w:ind w:firstLine="240" w:firstLineChars="100"/>
        <w:rPr>
          <w:rFonts w:ascii="宋体" w:hAnsi="宋体" w:cs="宋体"/>
          <w:sz w:val="24"/>
        </w:rPr>
      </w:pPr>
      <w:r>
        <w:rPr>
          <w:rFonts w:hint="eastAsia" w:ascii="宋体" w:hAnsi="宋体" w:cs="宋体"/>
          <w:sz w:val="24"/>
        </w:rPr>
        <w:t>名称：江苏英奇热电有限公司</w:t>
      </w:r>
    </w:p>
    <w:p>
      <w:pPr>
        <w:spacing w:line="360" w:lineRule="auto"/>
        <w:ind w:firstLine="240" w:firstLineChars="100"/>
        <w:rPr>
          <w:rFonts w:ascii="宋体" w:hAnsi="宋体" w:cs="宋体"/>
          <w:sz w:val="24"/>
        </w:rPr>
      </w:pPr>
      <w:r>
        <w:rPr>
          <w:rFonts w:hint="eastAsia" w:ascii="宋体" w:hAnsi="宋体" w:cs="宋体"/>
          <w:sz w:val="24"/>
        </w:rPr>
        <w:t>开户银行：江苏银行响水支行</w:t>
      </w:r>
    </w:p>
    <w:p>
      <w:pPr>
        <w:spacing w:line="360" w:lineRule="auto"/>
        <w:ind w:firstLine="240" w:firstLineChars="100"/>
        <w:rPr>
          <w:rFonts w:ascii="宋体" w:hAnsi="宋体" w:cs="宋体"/>
          <w:sz w:val="24"/>
        </w:rPr>
      </w:pPr>
      <w:r>
        <w:rPr>
          <w:rFonts w:hint="eastAsia" w:ascii="宋体" w:hAnsi="宋体" w:cs="宋体"/>
          <w:sz w:val="24"/>
        </w:rPr>
        <w:t>账号：12430188000094346</w:t>
      </w:r>
    </w:p>
    <w:p>
      <w:pPr>
        <w:pStyle w:val="26"/>
        <w:spacing w:after="0" w:line="360" w:lineRule="auto"/>
        <w:ind w:left="0" w:leftChars="0" w:firstLine="240" w:firstLineChars="100"/>
      </w:pPr>
      <w:r>
        <w:rPr>
          <w:rFonts w:hint="eastAsia" w:ascii="宋体" w:hAnsi="宋体" w:cs="宋体"/>
          <w:sz w:val="24"/>
        </w:rPr>
        <w:t>中标后投标保证金自动转为履约保证金，12个月后无息退还。</w:t>
      </w:r>
    </w:p>
    <w:p>
      <w:pPr>
        <w:spacing w:line="360" w:lineRule="auto"/>
        <w:rPr>
          <w:rFonts w:ascii="宋体" w:hAnsi="宋体" w:cs="宋体"/>
          <w:b/>
          <w:bCs/>
          <w:sz w:val="24"/>
        </w:rPr>
      </w:pPr>
      <w:r>
        <w:rPr>
          <w:rFonts w:hint="eastAsia" w:ascii="宋体" w:hAnsi="宋体" w:cs="宋体"/>
          <w:b/>
          <w:bCs/>
          <w:sz w:val="24"/>
        </w:rPr>
        <w:t>七、其他补充事宜</w:t>
      </w:r>
    </w:p>
    <w:p>
      <w:pPr>
        <w:widowControl/>
        <w:tabs>
          <w:tab w:val="left" w:pos="900"/>
        </w:tabs>
        <w:spacing w:line="360" w:lineRule="auto"/>
        <w:ind w:firstLine="240" w:firstLineChars="100"/>
        <w:rPr>
          <w:rFonts w:ascii="宋体" w:hAnsi="宋体" w:cs="宋体"/>
          <w:sz w:val="24"/>
        </w:rPr>
      </w:pPr>
      <w:r>
        <w:rPr>
          <w:rFonts w:hint="eastAsia" w:ascii="宋体" w:hAnsi="宋体" w:cs="宋体"/>
          <w:sz w:val="24"/>
        </w:rPr>
        <w:t>1.评标办法：最低评标价法。</w:t>
      </w:r>
    </w:p>
    <w:p>
      <w:pPr>
        <w:widowControl/>
        <w:spacing w:line="360" w:lineRule="auto"/>
        <w:ind w:firstLine="240" w:firstLineChars="100"/>
        <w:jc w:val="left"/>
        <w:rPr>
          <w:rFonts w:ascii="宋体" w:hAnsi="宋体" w:cs="宋体"/>
          <w:sz w:val="24"/>
          <w:highlight w:val="none"/>
        </w:rPr>
      </w:pPr>
      <w:r>
        <w:rPr>
          <w:rFonts w:hint="eastAsia" w:ascii="宋体" w:hAnsi="宋体" w:cs="宋体"/>
          <w:sz w:val="24"/>
          <w:highlight w:val="none"/>
        </w:rPr>
        <w:t>2.付款方式：卖方在收到买方的结算清单后，凭化验报告、过磅单、结算清单、开具煤炭增值税</w:t>
      </w:r>
      <w:r>
        <w:rPr>
          <w:rFonts w:hint="eastAsia" w:cs="宋体"/>
          <w:sz w:val="24"/>
          <w:highlight w:val="none"/>
        </w:rPr>
        <w:t>专</w:t>
      </w:r>
      <w:r>
        <w:rPr>
          <w:rFonts w:hint="eastAsia" w:ascii="宋体" w:hAnsi="宋体" w:cs="宋体"/>
          <w:sz w:val="24"/>
          <w:highlight w:val="none"/>
        </w:rPr>
        <w:t>票，买方在收到卖方增值税专票后</w:t>
      </w:r>
      <w:r>
        <w:rPr>
          <w:rFonts w:hint="eastAsia" w:ascii="宋体" w:hAnsi="宋体" w:cs="宋体"/>
          <w:sz w:val="24"/>
          <w:highlight w:val="none"/>
          <w:u w:val="single"/>
        </w:rPr>
        <w:t>25</w:t>
      </w:r>
      <w:r>
        <w:rPr>
          <w:rFonts w:hint="eastAsia" w:ascii="宋体" w:hAnsi="宋体" w:cs="宋体"/>
          <w:sz w:val="24"/>
          <w:highlight w:val="none"/>
        </w:rPr>
        <w:t>日内付款。</w:t>
      </w:r>
    </w:p>
    <w:p>
      <w:pPr>
        <w:widowControl/>
        <w:spacing w:line="360" w:lineRule="auto"/>
        <w:ind w:firstLine="240" w:firstLineChars="100"/>
        <w:jc w:val="left"/>
        <w:rPr>
          <w:rFonts w:ascii="宋体" w:hAnsi="宋体" w:cs="宋体"/>
          <w:sz w:val="24"/>
        </w:rPr>
      </w:pPr>
      <w:r>
        <w:rPr>
          <w:rFonts w:hint="eastAsia" w:ascii="宋体" w:hAnsi="宋体" w:cs="宋体"/>
          <w:sz w:val="24"/>
        </w:rPr>
        <w:t>3.根据《国务院办公厅转发国家发展改革委关于深化公共资源交易平台整合共享指导意见的通知》（国办函〔2019〕41号），全面逐步推行不见面投标开标等招投标活动。本项目开标方式为不见面开标。开标当日，投标人无需到达开标现场，仅需在任意地点通过PC端或移动端的“腾讯会议”及相应的配套硬件设备参加开标会议。如因视频设备问题造成无法核实身份的，作无效标处理，参加开标会议的方法详见招标文件。</w:t>
      </w:r>
    </w:p>
    <w:p>
      <w:pPr>
        <w:widowControl/>
        <w:tabs>
          <w:tab w:val="left" w:pos="900"/>
        </w:tabs>
        <w:spacing w:line="360" w:lineRule="auto"/>
        <w:ind w:firstLine="240" w:firstLineChars="100"/>
        <w:rPr>
          <w:rFonts w:ascii="宋体" w:hAnsi="宋体" w:cs="宋体"/>
          <w:sz w:val="24"/>
        </w:rPr>
      </w:pPr>
      <w:r>
        <w:rPr>
          <w:rFonts w:hint="eastAsia" w:ascii="宋体" w:hAnsi="宋体" w:cs="宋体"/>
          <w:sz w:val="24"/>
        </w:rPr>
        <w:t>4.各投标人在投标截止时间前应当每天都在响水县人民政府网上查询，以便获取更新的澄清、修改、补充内容。凡涉及到该项目的补充说明和修改，均以盐城市政府采购网和响水人民政府网上的更正或补充通知为准。</w:t>
      </w:r>
    </w:p>
    <w:p>
      <w:pPr>
        <w:widowControl/>
        <w:tabs>
          <w:tab w:val="left" w:pos="900"/>
        </w:tabs>
        <w:spacing w:line="360" w:lineRule="auto"/>
        <w:ind w:firstLine="240" w:firstLineChars="100"/>
        <w:rPr>
          <w:rFonts w:ascii="宋体" w:hAnsi="宋体" w:cs="宋体"/>
          <w:sz w:val="24"/>
        </w:rPr>
      </w:pPr>
      <w:r>
        <w:rPr>
          <w:rFonts w:hint="eastAsia" w:ascii="宋体" w:hAnsi="宋体" w:cs="宋体"/>
          <w:sz w:val="24"/>
        </w:rPr>
        <w:t>5.本项目为不见面交易项目，投标人通过“腾讯视频会议”直播APP加入会议。</w:t>
      </w:r>
    </w:p>
    <w:p>
      <w:pPr>
        <w:spacing w:line="360" w:lineRule="auto"/>
        <w:rPr>
          <w:rFonts w:ascii="宋体" w:hAnsi="宋体" w:cs="宋体"/>
          <w:b/>
          <w:bCs/>
          <w:sz w:val="24"/>
        </w:rPr>
      </w:pPr>
      <w:r>
        <w:rPr>
          <w:rFonts w:hint="eastAsia" w:ascii="宋体" w:hAnsi="宋体" w:cs="宋体"/>
          <w:b/>
          <w:bCs/>
          <w:sz w:val="24"/>
        </w:rPr>
        <w:t>八、对本次招标提出询问，请按以下方式联系。</w:t>
      </w:r>
    </w:p>
    <w:p>
      <w:pPr>
        <w:widowControl/>
        <w:tabs>
          <w:tab w:val="left" w:pos="900"/>
        </w:tabs>
        <w:spacing w:line="360" w:lineRule="auto"/>
        <w:ind w:firstLine="241" w:firstLineChars="100"/>
        <w:rPr>
          <w:rFonts w:ascii="宋体" w:hAnsi="宋体" w:cs="宋体"/>
          <w:b/>
          <w:bCs/>
          <w:sz w:val="24"/>
        </w:rPr>
      </w:pPr>
      <w:r>
        <w:rPr>
          <w:rFonts w:hint="eastAsia" w:ascii="宋体" w:hAnsi="宋体" w:cs="宋体"/>
          <w:b/>
          <w:bCs/>
          <w:sz w:val="24"/>
        </w:rPr>
        <w:t>1.采购人信息</w:t>
      </w:r>
    </w:p>
    <w:p>
      <w:pPr>
        <w:widowControl/>
        <w:tabs>
          <w:tab w:val="left" w:pos="900"/>
        </w:tabs>
        <w:spacing w:line="360" w:lineRule="auto"/>
        <w:ind w:firstLine="240" w:firstLineChars="100"/>
        <w:rPr>
          <w:rFonts w:ascii="宋体" w:hAnsi="宋体" w:cs="宋体"/>
          <w:sz w:val="24"/>
        </w:rPr>
      </w:pPr>
      <w:r>
        <w:rPr>
          <w:rFonts w:hint="eastAsia" w:ascii="宋体" w:hAnsi="宋体" w:cs="宋体"/>
          <w:sz w:val="24"/>
        </w:rPr>
        <w:t>名  称：江苏英奇热电有限公司</w:t>
      </w:r>
    </w:p>
    <w:p>
      <w:pPr>
        <w:widowControl/>
        <w:tabs>
          <w:tab w:val="left" w:pos="900"/>
        </w:tabs>
        <w:spacing w:line="360" w:lineRule="auto"/>
        <w:ind w:firstLine="240" w:firstLineChars="100"/>
        <w:rPr>
          <w:rFonts w:ascii="宋体" w:hAnsi="宋体" w:cs="宋体"/>
          <w:sz w:val="24"/>
        </w:rPr>
      </w:pPr>
      <w:r>
        <w:rPr>
          <w:rFonts w:hint="eastAsia" w:ascii="宋体" w:hAnsi="宋体" w:cs="宋体"/>
          <w:sz w:val="24"/>
        </w:rPr>
        <w:t>地  址：江苏响水县经济开发区响陈路北，小黄河东侧</w:t>
      </w:r>
    </w:p>
    <w:p>
      <w:pPr>
        <w:widowControl/>
        <w:tabs>
          <w:tab w:val="left" w:pos="900"/>
        </w:tabs>
        <w:spacing w:line="360" w:lineRule="auto"/>
        <w:ind w:firstLine="240" w:firstLineChars="100"/>
        <w:rPr>
          <w:rFonts w:ascii="宋体" w:hAnsi="宋体" w:cs="宋体"/>
          <w:sz w:val="24"/>
          <w:highlight w:val="none"/>
        </w:rPr>
      </w:pPr>
      <w:r>
        <w:rPr>
          <w:rFonts w:hint="eastAsia" w:ascii="宋体" w:hAnsi="宋体" w:cs="宋体"/>
          <w:sz w:val="24"/>
        </w:rPr>
        <w:t>联系人：</w:t>
      </w:r>
      <w:r>
        <w:rPr>
          <w:rFonts w:hint="eastAsia" w:ascii="宋体" w:hAnsi="宋体" w:cs="宋体"/>
          <w:sz w:val="24"/>
          <w:highlight w:val="none"/>
          <w:lang w:val="en-US" w:eastAsia="zh-CN"/>
        </w:rPr>
        <w:t xml:space="preserve">王振宇                 </w:t>
      </w:r>
      <w:r>
        <w:rPr>
          <w:rFonts w:hint="eastAsia" w:ascii="宋体" w:hAnsi="宋体" w:cs="宋体"/>
          <w:sz w:val="24"/>
          <w:highlight w:val="none"/>
        </w:rPr>
        <w:t xml:space="preserve">                     </w:t>
      </w:r>
    </w:p>
    <w:p>
      <w:pPr>
        <w:widowControl/>
        <w:tabs>
          <w:tab w:val="left" w:pos="900"/>
        </w:tabs>
        <w:spacing w:line="360" w:lineRule="auto"/>
        <w:ind w:firstLine="240" w:firstLineChars="100"/>
        <w:rPr>
          <w:rFonts w:ascii="宋体" w:hAnsi="宋体" w:cs="宋体"/>
          <w:sz w:val="24"/>
          <w:highlight w:val="none"/>
        </w:rPr>
      </w:pPr>
      <w:r>
        <w:rPr>
          <w:rFonts w:hint="eastAsia" w:ascii="宋体" w:hAnsi="宋体" w:cs="宋体"/>
          <w:sz w:val="24"/>
          <w:highlight w:val="none"/>
        </w:rPr>
        <w:t>联系电话：</w:t>
      </w:r>
      <w:r>
        <w:rPr>
          <w:rFonts w:hint="eastAsia" w:ascii="宋体" w:hAnsi="宋体" w:cs="宋体"/>
          <w:sz w:val="24"/>
          <w:highlight w:val="none"/>
          <w:lang w:val="en-US" w:eastAsia="zh-CN"/>
        </w:rPr>
        <w:t>13163241037</w:t>
      </w:r>
    </w:p>
    <w:p>
      <w:pPr>
        <w:widowControl/>
        <w:tabs>
          <w:tab w:val="left" w:pos="900"/>
        </w:tabs>
        <w:spacing w:line="360" w:lineRule="auto"/>
        <w:ind w:firstLine="241" w:firstLineChars="100"/>
        <w:rPr>
          <w:rFonts w:ascii="宋体" w:hAnsi="宋体" w:cs="宋体"/>
          <w:b/>
          <w:bCs/>
          <w:sz w:val="24"/>
          <w:highlight w:val="none"/>
        </w:rPr>
      </w:pPr>
      <w:r>
        <w:rPr>
          <w:rFonts w:hint="eastAsia" w:ascii="宋体" w:hAnsi="宋体" w:cs="宋体"/>
          <w:b/>
          <w:bCs/>
          <w:sz w:val="24"/>
          <w:highlight w:val="none"/>
        </w:rPr>
        <w:t>2.采购代理机构信息</w:t>
      </w:r>
    </w:p>
    <w:p>
      <w:pPr>
        <w:widowControl/>
        <w:tabs>
          <w:tab w:val="left" w:pos="900"/>
        </w:tabs>
        <w:spacing w:line="360" w:lineRule="auto"/>
        <w:ind w:firstLine="240" w:firstLineChars="100"/>
        <w:rPr>
          <w:rFonts w:ascii="宋体" w:hAnsi="宋体" w:cs="宋体"/>
          <w:sz w:val="24"/>
          <w:highlight w:val="none"/>
        </w:rPr>
      </w:pPr>
      <w:r>
        <w:rPr>
          <w:rFonts w:hint="eastAsia" w:ascii="宋体" w:hAnsi="宋体" w:cs="宋体"/>
          <w:sz w:val="24"/>
          <w:highlight w:val="none"/>
        </w:rPr>
        <w:t xml:space="preserve">名  称：盐城润威项目管理有限公司 </w:t>
      </w:r>
    </w:p>
    <w:p>
      <w:pPr>
        <w:widowControl/>
        <w:tabs>
          <w:tab w:val="left" w:pos="900"/>
        </w:tabs>
        <w:spacing w:line="360" w:lineRule="auto"/>
        <w:ind w:firstLine="240" w:firstLineChars="100"/>
        <w:rPr>
          <w:rFonts w:ascii="宋体" w:hAnsi="宋体" w:cs="宋体"/>
          <w:sz w:val="24"/>
          <w:highlight w:val="none"/>
        </w:rPr>
      </w:pPr>
      <w:r>
        <w:rPr>
          <w:rFonts w:hint="eastAsia" w:ascii="宋体" w:hAnsi="宋体" w:cs="宋体"/>
          <w:sz w:val="24"/>
          <w:highlight w:val="none"/>
        </w:rPr>
        <w:t>地  址：</w:t>
      </w:r>
      <w:r>
        <w:rPr>
          <w:rFonts w:hint="eastAsia"/>
          <w:sz w:val="24"/>
          <w:highlight w:val="none"/>
        </w:rPr>
        <w:t>响水县开发区运响河东侧1幢1层</w:t>
      </w:r>
    </w:p>
    <w:p>
      <w:pPr>
        <w:widowControl/>
        <w:tabs>
          <w:tab w:val="left" w:pos="900"/>
        </w:tabs>
        <w:spacing w:line="360" w:lineRule="auto"/>
        <w:ind w:firstLine="240" w:firstLineChars="100"/>
        <w:rPr>
          <w:rFonts w:ascii="宋体" w:hAnsi="宋体" w:cs="宋体"/>
          <w:sz w:val="24"/>
          <w:highlight w:val="none"/>
        </w:rPr>
      </w:pPr>
      <w:r>
        <w:rPr>
          <w:rFonts w:hint="eastAsia" w:ascii="宋体" w:hAnsi="宋体" w:cs="宋体"/>
          <w:sz w:val="24"/>
          <w:highlight w:val="none"/>
        </w:rPr>
        <w:t xml:space="preserve">联系人：徐慧慧                   </w:t>
      </w:r>
    </w:p>
    <w:p>
      <w:pPr>
        <w:widowControl/>
        <w:tabs>
          <w:tab w:val="left" w:pos="900"/>
        </w:tabs>
        <w:spacing w:line="360" w:lineRule="auto"/>
        <w:ind w:firstLine="240" w:firstLineChars="100"/>
        <w:rPr>
          <w:rFonts w:ascii="宋体" w:hAnsi="宋体" w:cs="宋体"/>
          <w:sz w:val="24"/>
          <w:highlight w:val="none"/>
        </w:rPr>
      </w:pPr>
      <w:r>
        <w:rPr>
          <w:rFonts w:hint="eastAsia" w:ascii="宋体" w:hAnsi="宋体" w:cs="宋体"/>
          <w:sz w:val="24"/>
          <w:highlight w:val="none"/>
        </w:rPr>
        <w:t>联系电话：18912550728</w:t>
      </w:r>
    </w:p>
    <w:p>
      <w:pPr>
        <w:widowControl/>
        <w:tabs>
          <w:tab w:val="left" w:pos="900"/>
        </w:tabs>
        <w:spacing w:line="360" w:lineRule="auto"/>
        <w:ind w:firstLine="241" w:firstLineChars="100"/>
        <w:rPr>
          <w:rFonts w:ascii="宋体" w:hAnsi="宋体" w:cs="宋体"/>
          <w:b/>
          <w:bCs/>
          <w:sz w:val="24"/>
          <w:highlight w:val="none"/>
        </w:rPr>
      </w:pPr>
      <w:r>
        <w:rPr>
          <w:rFonts w:hint="eastAsia" w:ascii="宋体" w:hAnsi="宋体" w:cs="宋体"/>
          <w:b/>
          <w:bCs/>
          <w:sz w:val="24"/>
          <w:highlight w:val="none"/>
        </w:rPr>
        <w:t>3.项目联系方式</w:t>
      </w:r>
    </w:p>
    <w:p>
      <w:pPr>
        <w:widowControl/>
        <w:tabs>
          <w:tab w:val="left" w:pos="900"/>
        </w:tabs>
        <w:spacing w:line="360" w:lineRule="auto"/>
        <w:ind w:firstLine="240" w:firstLineChars="100"/>
        <w:rPr>
          <w:rFonts w:ascii="宋体" w:hAnsi="宋体" w:cs="宋体"/>
          <w:sz w:val="24"/>
          <w:highlight w:val="none"/>
        </w:rPr>
      </w:pPr>
      <w:r>
        <w:rPr>
          <w:rFonts w:hint="eastAsia" w:ascii="宋体" w:hAnsi="宋体" w:cs="宋体"/>
          <w:sz w:val="24"/>
          <w:highlight w:val="none"/>
        </w:rPr>
        <w:t>项目联系人：</w:t>
      </w:r>
      <w:r>
        <w:rPr>
          <w:rFonts w:hint="eastAsia" w:ascii="宋体" w:hAnsi="宋体" w:cs="宋体"/>
          <w:sz w:val="24"/>
          <w:highlight w:val="none"/>
          <w:lang w:val="en-US" w:eastAsia="zh-CN"/>
        </w:rPr>
        <w:t xml:space="preserve">王振宇  </w:t>
      </w:r>
      <w:r>
        <w:rPr>
          <w:rFonts w:hint="eastAsia" w:ascii="宋体" w:hAnsi="宋体" w:cs="宋体"/>
          <w:sz w:val="24"/>
          <w:highlight w:val="none"/>
        </w:rPr>
        <w:t xml:space="preserve"> </w:t>
      </w:r>
      <w:r>
        <w:rPr>
          <w:rFonts w:hint="eastAsia" w:ascii="宋体" w:hAnsi="宋体" w:cs="宋体"/>
          <w:kern w:val="0"/>
          <w:sz w:val="24"/>
          <w:highlight w:val="none"/>
        </w:rPr>
        <w:t xml:space="preserve"> </w:t>
      </w:r>
      <w:r>
        <w:rPr>
          <w:rFonts w:hint="eastAsia" w:ascii="宋体" w:hAnsi="宋体" w:cs="宋体"/>
          <w:sz w:val="24"/>
          <w:highlight w:val="none"/>
        </w:rPr>
        <w:t xml:space="preserve"> 电话：</w:t>
      </w:r>
      <w:r>
        <w:rPr>
          <w:rFonts w:hint="eastAsia" w:ascii="宋体" w:hAnsi="宋体" w:cs="宋体"/>
          <w:sz w:val="24"/>
          <w:highlight w:val="none"/>
          <w:lang w:val="en-US" w:eastAsia="zh-CN"/>
        </w:rPr>
        <w:t xml:space="preserve">13163241037 </w:t>
      </w:r>
    </w:p>
    <w:p>
      <w:pPr>
        <w:widowControl/>
        <w:shd w:val="clear" w:color="auto" w:fill="FFFFFF"/>
        <w:spacing w:line="360" w:lineRule="auto"/>
        <w:jc w:val="left"/>
        <w:rPr>
          <w:rFonts w:ascii="宋体" w:hAnsi="宋体" w:cs="宋体"/>
          <w:b/>
          <w:bCs/>
          <w:sz w:val="24"/>
        </w:rPr>
      </w:pPr>
      <w:r>
        <w:rPr>
          <w:rFonts w:hint="eastAsia" w:ascii="宋体" w:hAnsi="宋体" w:cs="宋体"/>
          <w:b/>
          <w:bCs/>
          <w:sz w:val="24"/>
        </w:rPr>
        <w:t>九</w:t>
      </w:r>
      <w:r>
        <w:rPr>
          <w:rFonts w:ascii="宋体" w:hAnsi="宋体" w:cs="宋体"/>
          <w:b/>
          <w:bCs/>
          <w:sz w:val="24"/>
        </w:rPr>
        <w:t>、质疑和投诉处理</w:t>
      </w:r>
    </w:p>
    <w:p>
      <w:pPr>
        <w:widowControl/>
        <w:tabs>
          <w:tab w:val="left" w:pos="900"/>
        </w:tabs>
        <w:spacing w:line="360" w:lineRule="auto"/>
        <w:ind w:firstLine="240" w:firstLineChars="100"/>
        <w:rPr>
          <w:rFonts w:ascii="宋体" w:hAnsi="宋体" w:cs="宋体"/>
          <w:sz w:val="24"/>
        </w:rPr>
      </w:pPr>
      <w:r>
        <w:rPr>
          <w:rFonts w:ascii="宋体" w:hAnsi="宋体" w:cs="宋体"/>
          <w:sz w:val="24"/>
        </w:rPr>
        <w:t>本项目为国有企业采购服务项目，不适用《中华人民共和国政府采购法》等政府采购相关法律法规。为便于本项目的顺利实施，采购人比照《中华人民共和国政府采购法》等有关规定开展采购活动。如供应商对本项目提出质疑或提起投诉的，请与采购人、代理公司或采购人主管部门联系处理。响水县公共资源交易中心仅提供发布信息、场地等服务，不负责处理相关质疑、投诉事项。</w:t>
      </w:r>
    </w:p>
    <w:p>
      <w:pPr>
        <w:pStyle w:val="22"/>
      </w:pPr>
    </w:p>
    <w:p>
      <w:pPr>
        <w:spacing w:line="360" w:lineRule="auto"/>
        <w:ind w:right="480"/>
        <w:jc w:val="right"/>
        <w:rPr>
          <w:rFonts w:ascii="宋体" w:hAnsi="宋体" w:cs="宋体"/>
          <w:sz w:val="24"/>
        </w:rPr>
      </w:pPr>
      <w:r>
        <w:rPr>
          <w:rFonts w:hint="eastAsia" w:ascii="宋体" w:hAnsi="宋体" w:cs="宋体"/>
          <w:sz w:val="24"/>
        </w:rPr>
        <w:t>江苏英奇热电有限公司</w:t>
      </w:r>
    </w:p>
    <w:p>
      <w:pPr>
        <w:spacing w:line="360" w:lineRule="auto"/>
        <w:ind w:right="480" w:firstLine="480" w:firstLineChars="200"/>
        <w:jc w:val="center"/>
        <w:rPr>
          <w:rFonts w:ascii="宋体" w:hAnsi="宋体" w:cs="宋体"/>
        </w:rPr>
      </w:pPr>
      <w:r>
        <w:rPr>
          <w:rFonts w:hint="eastAsia" w:ascii="宋体" w:hAnsi="宋体" w:cs="宋体"/>
          <w:sz w:val="24"/>
        </w:rPr>
        <w:t xml:space="preserve">                                                202</w:t>
      </w:r>
      <w:r>
        <w:rPr>
          <w:rFonts w:hint="eastAsia" w:ascii="宋体" w:hAnsi="宋体" w:cs="宋体"/>
          <w:sz w:val="24"/>
          <w:lang w:val="en-US" w:eastAsia="zh-CN"/>
        </w:rPr>
        <w:t>6</w:t>
      </w:r>
      <w:r>
        <w:rPr>
          <w:rFonts w:hint="eastAsia" w:ascii="宋体" w:hAnsi="宋体" w:cs="宋体"/>
          <w:sz w:val="24"/>
        </w:rPr>
        <w:t>年</w:t>
      </w:r>
      <w:r>
        <w:rPr>
          <w:rFonts w:hint="eastAsia" w:ascii="宋体" w:hAnsi="宋体" w:cs="宋体"/>
          <w:sz w:val="24"/>
          <w:lang w:val="en-US" w:eastAsia="zh-CN"/>
        </w:rPr>
        <w:t>6</w:t>
      </w:r>
      <w:r>
        <w:rPr>
          <w:rFonts w:hint="eastAsia" w:ascii="宋体" w:hAnsi="宋体" w:cs="宋体"/>
          <w:sz w:val="24"/>
        </w:rPr>
        <w:t>月</w:t>
      </w:r>
      <w:r>
        <w:rPr>
          <w:rFonts w:hint="eastAsia" w:ascii="宋体" w:hAnsi="宋体" w:cs="宋体"/>
          <w:sz w:val="24"/>
          <w:lang w:val="en-US" w:eastAsia="zh-CN"/>
        </w:rPr>
        <w:t>5</w:t>
      </w:r>
      <w:r>
        <w:rPr>
          <w:rFonts w:hint="eastAsia" w:ascii="宋体" w:hAnsi="宋体" w:cs="宋体"/>
          <w:sz w:val="24"/>
        </w:rPr>
        <w:t>日</w:t>
      </w:r>
      <w:bookmarkStart w:id="17" w:name="_Toc32463"/>
      <w:bookmarkStart w:id="18" w:name="_Toc17489"/>
    </w:p>
    <w:p>
      <w:pPr>
        <w:spacing w:line="360" w:lineRule="auto"/>
        <w:ind w:firstLine="321"/>
        <w:jc w:val="center"/>
        <w:outlineLvl w:val="0"/>
        <w:rPr>
          <w:rFonts w:ascii="宋体" w:hAnsi="宋体" w:cs="宋体"/>
          <w:b/>
          <w:sz w:val="28"/>
          <w:szCs w:val="28"/>
        </w:rPr>
      </w:pPr>
      <w:r>
        <w:rPr>
          <w:rFonts w:hint="eastAsia" w:ascii="宋体" w:hAnsi="宋体" w:cs="宋体"/>
          <w:b/>
          <w:sz w:val="32"/>
          <w:szCs w:val="32"/>
        </w:rPr>
        <w:br w:type="page"/>
      </w:r>
      <w:bookmarkStart w:id="19" w:name="_Toc6636"/>
      <w:r>
        <w:rPr>
          <w:rFonts w:hint="eastAsia" w:ascii="宋体" w:hAnsi="宋体" w:cs="宋体"/>
          <w:b/>
          <w:sz w:val="28"/>
          <w:szCs w:val="28"/>
        </w:rPr>
        <w:t>第二章  投标人须知</w:t>
      </w:r>
      <w:bookmarkEnd w:id="17"/>
      <w:bookmarkEnd w:id="18"/>
      <w:bookmarkEnd w:id="19"/>
    </w:p>
    <w:p>
      <w:pPr>
        <w:spacing w:line="360" w:lineRule="auto"/>
        <w:ind w:firstLine="301"/>
        <w:jc w:val="center"/>
        <w:outlineLvl w:val="1"/>
        <w:rPr>
          <w:rFonts w:ascii="宋体" w:hAnsi="宋体" w:cs="宋体"/>
          <w:b/>
          <w:bCs/>
          <w:sz w:val="30"/>
          <w:szCs w:val="30"/>
        </w:rPr>
      </w:pPr>
      <w:bookmarkStart w:id="20" w:name="_Toc30101"/>
      <w:bookmarkStart w:id="21" w:name="_Toc9932"/>
      <w:r>
        <w:rPr>
          <w:rFonts w:hint="eastAsia" w:ascii="宋体" w:hAnsi="宋体" w:cs="宋体"/>
          <w:b/>
          <w:bCs/>
          <w:sz w:val="30"/>
          <w:szCs w:val="30"/>
        </w:rPr>
        <w:t>一、说明</w:t>
      </w:r>
      <w:bookmarkEnd w:id="20"/>
      <w:bookmarkEnd w:id="21"/>
    </w:p>
    <w:p>
      <w:pPr>
        <w:spacing w:line="360" w:lineRule="auto"/>
        <w:outlineLvl w:val="2"/>
        <w:rPr>
          <w:rFonts w:ascii="宋体" w:hAnsi="宋体" w:cs="宋体"/>
          <w:b/>
          <w:bCs/>
          <w:sz w:val="24"/>
        </w:rPr>
      </w:pPr>
      <w:bookmarkStart w:id="22" w:name="_Toc26628"/>
      <w:r>
        <w:rPr>
          <w:rFonts w:hint="eastAsia" w:ascii="宋体" w:hAnsi="宋体" w:cs="宋体"/>
          <w:b/>
          <w:bCs/>
          <w:sz w:val="24"/>
        </w:rPr>
        <w:t>1.采购人、采购代理机构及合格的投标人</w:t>
      </w:r>
      <w:bookmarkEnd w:id="22"/>
    </w:p>
    <w:p>
      <w:pPr>
        <w:widowControl/>
        <w:shd w:val="clear" w:color="auto" w:fill="FFFFFF"/>
        <w:spacing w:line="360" w:lineRule="auto"/>
        <w:ind w:firstLine="240" w:firstLineChars="100"/>
        <w:jc w:val="left"/>
        <w:rPr>
          <w:rFonts w:ascii="宋体" w:hAnsi="宋体" w:cs="宋体"/>
          <w:sz w:val="24"/>
        </w:rPr>
      </w:pPr>
      <w:r>
        <w:rPr>
          <w:rFonts w:hint="eastAsia" w:ascii="宋体" w:hAnsi="宋体" w:cs="宋体"/>
          <w:sz w:val="24"/>
        </w:rPr>
        <w:t>1.1  采购人：见“招标公告”。</w:t>
      </w:r>
    </w:p>
    <w:p>
      <w:pPr>
        <w:widowControl/>
        <w:shd w:val="clear" w:color="auto" w:fill="FFFFFF"/>
        <w:spacing w:line="360" w:lineRule="auto"/>
        <w:ind w:firstLine="240" w:firstLineChars="100"/>
        <w:jc w:val="left"/>
        <w:rPr>
          <w:rFonts w:ascii="宋体" w:hAnsi="宋体" w:cs="宋体"/>
          <w:sz w:val="24"/>
        </w:rPr>
      </w:pPr>
      <w:r>
        <w:rPr>
          <w:rFonts w:hint="eastAsia" w:ascii="宋体" w:hAnsi="宋体" w:cs="宋体"/>
          <w:sz w:val="24"/>
        </w:rPr>
        <w:t>1.2  采购代理机构：见“招标公告”。</w:t>
      </w:r>
    </w:p>
    <w:p>
      <w:pPr>
        <w:widowControl/>
        <w:shd w:val="clear" w:color="auto" w:fill="FFFFFF"/>
        <w:spacing w:line="360" w:lineRule="auto"/>
        <w:ind w:firstLine="240" w:firstLineChars="100"/>
        <w:jc w:val="left"/>
        <w:rPr>
          <w:rFonts w:ascii="宋体" w:hAnsi="宋体" w:cs="宋体"/>
          <w:sz w:val="24"/>
        </w:rPr>
      </w:pPr>
      <w:r>
        <w:rPr>
          <w:rFonts w:hint="eastAsia" w:ascii="宋体" w:hAnsi="宋体" w:cs="宋体"/>
          <w:sz w:val="24"/>
        </w:rPr>
        <w:t>1.3  合格的投标人：见“招标公告”。</w:t>
      </w:r>
    </w:p>
    <w:p>
      <w:pPr>
        <w:widowControl/>
        <w:shd w:val="clear" w:color="auto" w:fill="FFFFFF"/>
        <w:spacing w:line="360" w:lineRule="auto"/>
        <w:ind w:firstLine="240" w:firstLineChars="100"/>
        <w:jc w:val="left"/>
        <w:rPr>
          <w:rFonts w:ascii="宋体" w:hAnsi="宋体" w:cs="宋体"/>
          <w:sz w:val="24"/>
        </w:rPr>
      </w:pPr>
      <w:r>
        <w:rPr>
          <w:rFonts w:hint="eastAsia" w:ascii="宋体" w:hAnsi="宋体" w:cs="宋体"/>
          <w:sz w:val="24"/>
        </w:rPr>
        <w:t>1.4  采购人或采购代理机构在任何时候发现投标人提交的投标文件内容有下列情形之一时，取消其投标或中标资格，有权依法追究投标人的责任：</w:t>
      </w:r>
    </w:p>
    <w:p>
      <w:pPr>
        <w:spacing w:line="360" w:lineRule="auto"/>
        <w:ind w:firstLine="240" w:firstLineChars="100"/>
        <w:rPr>
          <w:rFonts w:ascii="宋体" w:hAnsi="宋体" w:cs="宋体"/>
          <w:sz w:val="24"/>
        </w:rPr>
      </w:pPr>
      <w:r>
        <w:rPr>
          <w:rFonts w:hint="eastAsia" w:ascii="宋体" w:hAnsi="宋体" w:cs="宋体"/>
          <w:sz w:val="24"/>
        </w:rPr>
        <w:t>（1）提供虚假的资料。</w:t>
      </w:r>
    </w:p>
    <w:p>
      <w:pPr>
        <w:spacing w:line="360" w:lineRule="auto"/>
        <w:ind w:firstLine="240" w:firstLineChars="100"/>
        <w:rPr>
          <w:rFonts w:ascii="宋体" w:hAnsi="宋体" w:cs="宋体"/>
          <w:sz w:val="24"/>
        </w:rPr>
      </w:pPr>
      <w:r>
        <w:rPr>
          <w:rFonts w:hint="eastAsia" w:ascii="宋体" w:hAnsi="宋体" w:cs="宋体"/>
          <w:sz w:val="24"/>
        </w:rPr>
        <w:t>（2）在实质性方面失实。</w:t>
      </w:r>
    </w:p>
    <w:p>
      <w:pPr>
        <w:spacing w:line="360" w:lineRule="auto"/>
        <w:outlineLvl w:val="2"/>
        <w:rPr>
          <w:rFonts w:ascii="宋体" w:hAnsi="宋体" w:cs="宋体"/>
          <w:b/>
          <w:bCs/>
          <w:sz w:val="24"/>
        </w:rPr>
      </w:pPr>
      <w:bookmarkStart w:id="23" w:name="_Toc30626"/>
      <w:r>
        <w:rPr>
          <w:rFonts w:hint="eastAsia" w:ascii="宋体" w:hAnsi="宋体" w:cs="宋体"/>
          <w:b/>
          <w:bCs/>
          <w:sz w:val="24"/>
        </w:rPr>
        <w:t>2.资金来源</w:t>
      </w:r>
      <w:bookmarkEnd w:id="23"/>
    </w:p>
    <w:p>
      <w:pPr>
        <w:spacing w:line="360" w:lineRule="auto"/>
        <w:ind w:firstLine="240" w:firstLineChars="100"/>
        <w:rPr>
          <w:rFonts w:ascii="宋体" w:hAnsi="宋体" w:cs="宋体"/>
          <w:sz w:val="24"/>
        </w:rPr>
      </w:pPr>
      <w:r>
        <w:rPr>
          <w:rFonts w:hint="eastAsia" w:ascii="宋体" w:hAnsi="宋体" w:cs="宋体"/>
          <w:sz w:val="24"/>
        </w:rPr>
        <w:t>资金来源及比例：本项目由江苏英奇热电有限公司出资，出资比例为100%。</w:t>
      </w:r>
    </w:p>
    <w:p>
      <w:pPr>
        <w:spacing w:line="360" w:lineRule="auto"/>
        <w:outlineLvl w:val="2"/>
        <w:rPr>
          <w:rFonts w:ascii="宋体" w:hAnsi="宋体" w:cs="宋体"/>
          <w:b/>
          <w:bCs/>
          <w:sz w:val="24"/>
        </w:rPr>
      </w:pPr>
      <w:bookmarkStart w:id="24" w:name="_Toc4723"/>
      <w:r>
        <w:rPr>
          <w:rFonts w:hint="eastAsia" w:ascii="宋体" w:hAnsi="宋体" w:cs="宋体"/>
          <w:b/>
          <w:bCs/>
          <w:sz w:val="24"/>
        </w:rPr>
        <w:t>3.投标费用</w:t>
      </w:r>
      <w:bookmarkEnd w:id="24"/>
    </w:p>
    <w:p>
      <w:pPr>
        <w:spacing w:line="360" w:lineRule="auto"/>
        <w:ind w:firstLine="240" w:firstLineChars="100"/>
        <w:rPr>
          <w:rFonts w:ascii="宋体" w:hAnsi="宋体" w:cs="宋体"/>
          <w:sz w:val="24"/>
        </w:rPr>
      </w:pPr>
      <w:r>
        <w:rPr>
          <w:rFonts w:hint="eastAsia" w:ascii="宋体" w:hAnsi="宋体" w:cs="宋体"/>
          <w:sz w:val="24"/>
        </w:rPr>
        <w:t>投标人应承担所有与准备和参加投标有关的费用，不论投标的结果如何，采购人或采购代理机构均无承担的义务和责任。</w:t>
      </w:r>
    </w:p>
    <w:p>
      <w:pPr>
        <w:spacing w:line="360" w:lineRule="auto"/>
        <w:ind w:firstLine="301"/>
        <w:jc w:val="center"/>
        <w:outlineLvl w:val="1"/>
        <w:rPr>
          <w:rFonts w:ascii="宋体" w:hAnsi="宋体" w:cs="宋体"/>
          <w:b/>
          <w:bCs/>
          <w:sz w:val="30"/>
          <w:szCs w:val="30"/>
        </w:rPr>
      </w:pPr>
      <w:bookmarkStart w:id="25" w:name="_Toc10677"/>
      <w:bookmarkStart w:id="26" w:name="_Toc29298"/>
      <w:r>
        <w:rPr>
          <w:rFonts w:hint="eastAsia" w:ascii="宋体" w:hAnsi="宋体" w:cs="宋体"/>
          <w:b/>
          <w:bCs/>
          <w:sz w:val="30"/>
          <w:szCs w:val="30"/>
        </w:rPr>
        <w:t>二、招标文件</w:t>
      </w:r>
      <w:bookmarkEnd w:id="25"/>
      <w:bookmarkEnd w:id="26"/>
    </w:p>
    <w:p>
      <w:pPr>
        <w:spacing w:line="360" w:lineRule="auto"/>
        <w:outlineLvl w:val="2"/>
        <w:rPr>
          <w:rFonts w:ascii="宋体" w:hAnsi="宋体" w:cs="宋体"/>
          <w:b/>
          <w:bCs/>
          <w:sz w:val="24"/>
        </w:rPr>
      </w:pPr>
      <w:bookmarkStart w:id="27" w:name="_Toc7875"/>
      <w:r>
        <w:rPr>
          <w:rFonts w:hint="eastAsia" w:ascii="宋体" w:hAnsi="宋体" w:cs="宋体"/>
          <w:b/>
          <w:bCs/>
          <w:sz w:val="24"/>
        </w:rPr>
        <w:t>4.招标文件构成</w:t>
      </w:r>
      <w:bookmarkEnd w:id="27"/>
    </w:p>
    <w:p>
      <w:pPr>
        <w:spacing w:line="360" w:lineRule="auto"/>
        <w:ind w:firstLine="240" w:firstLineChars="100"/>
        <w:rPr>
          <w:rFonts w:ascii="宋体" w:hAnsi="宋体" w:cs="宋体"/>
          <w:sz w:val="24"/>
        </w:rPr>
      </w:pPr>
      <w:r>
        <w:rPr>
          <w:rFonts w:hint="eastAsia" w:ascii="宋体" w:hAnsi="宋体" w:cs="宋体"/>
          <w:sz w:val="24"/>
        </w:rPr>
        <w:t>4.1  要求提供货物的内容及详细技术需求、投标须知和合同条件等在招标文件中均有说明。</w:t>
      </w:r>
    </w:p>
    <w:p>
      <w:pPr>
        <w:spacing w:line="360" w:lineRule="auto"/>
        <w:ind w:firstLine="240" w:firstLineChars="100"/>
        <w:rPr>
          <w:rFonts w:ascii="宋体" w:hAnsi="宋体" w:cs="宋体"/>
          <w:sz w:val="24"/>
        </w:rPr>
      </w:pPr>
      <w:r>
        <w:rPr>
          <w:rFonts w:hint="eastAsia" w:ascii="宋体" w:hAnsi="宋体" w:cs="宋体"/>
          <w:sz w:val="24"/>
        </w:rPr>
        <w:t>招标文件内容如下：</w:t>
      </w:r>
    </w:p>
    <w:p>
      <w:pPr>
        <w:spacing w:line="360" w:lineRule="auto"/>
        <w:ind w:firstLine="240" w:firstLineChars="100"/>
        <w:rPr>
          <w:rFonts w:ascii="宋体" w:hAnsi="宋体" w:cs="宋体"/>
          <w:sz w:val="24"/>
        </w:rPr>
      </w:pPr>
      <w:r>
        <w:rPr>
          <w:rFonts w:hint="eastAsia" w:ascii="宋体" w:hAnsi="宋体" w:cs="宋体"/>
          <w:sz w:val="24"/>
        </w:rPr>
        <w:t>第一章  招标公告</w:t>
      </w:r>
    </w:p>
    <w:p>
      <w:pPr>
        <w:spacing w:line="360" w:lineRule="auto"/>
        <w:ind w:firstLine="240" w:firstLineChars="100"/>
        <w:rPr>
          <w:rFonts w:ascii="宋体" w:hAnsi="宋体" w:cs="宋体"/>
          <w:sz w:val="24"/>
        </w:rPr>
      </w:pPr>
      <w:r>
        <w:rPr>
          <w:rFonts w:hint="eastAsia" w:ascii="宋体" w:hAnsi="宋体" w:cs="宋体"/>
          <w:sz w:val="24"/>
        </w:rPr>
        <w:t>第二章  投标人须知</w:t>
      </w:r>
    </w:p>
    <w:p>
      <w:pPr>
        <w:spacing w:line="360" w:lineRule="auto"/>
        <w:ind w:firstLine="240" w:firstLineChars="100"/>
        <w:rPr>
          <w:rFonts w:ascii="宋体" w:hAnsi="宋体" w:cs="宋体"/>
          <w:sz w:val="24"/>
        </w:rPr>
      </w:pPr>
      <w:r>
        <w:rPr>
          <w:rFonts w:hint="eastAsia" w:ascii="宋体" w:hAnsi="宋体" w:cs="宋体"/>
          <w:sz w:val="24"/>
        </w:rPr>
        <w:t>第三章  项目需求</w:t>
      </w:r>
    </w:p>
    <w:p>
      <w:pPr>
        <w:spacing w:line="360" w:lineRule="auto"/>
        <w:ind w:firstLine="240" w:firstLineChars="100"/>
        <w:rPr>
          <w:rFonts w:ascii="宋体" w:hAnsi="宋体" w:cs="宋体"/>
          <w:sz w:val="24"/>
        </w:rPr>
      </w:pPr>
      <w:r>
        <w:rPr>
          <w:rFonts w:hint="eastAsia" w:ascii="宋体" w:hAnsi="宋体" w:cs="宋体"/>
          <w:sz w:val="24"/>
        </w:rPr>
        <w:t>第四章  合同主要条款</w:t>
      </w:r>
    </w:p>
    <w:p>
      <w:pPr>
        <w:spacing w:line="360" w:lineRule="auto"/>
        <w:ind w:firstLine="240" w:firstLineChars="100"/>
        <w:rPr>
          <w:rFonts w:ascii="宋体" w:hAnsi="宋体" w:cs="宋体"/>
          <w:sz w:val="24"/>
        </w:rPr>
      </w:pPr>
      <w:r>
        <w:rPr>
          <w:rFonts w:hint="eastAsia" w:ascii="宋体" w:hAnsi="宋体" w:cs="宋体"/>
          <w:sz w:val="24"/>
        </w:rPr>
        <w:t>第五章  投标文件格式</w:t>
      </w:r>
    </w:p>
    <w:p>
      <w:pPr>
        <w:spacing w:line="360" w:lineRule="auto"/>
        <w:ind w:firstLine="240" w:firstLineChars="100"/>
        <w:rPr>
          <w:rFonts w:ascii="宋体" w:hAnsi="宋体" w:cs="宋体"/>
          <w:sz w:val="24"/>
        </w:rPr>
      </w:pPr>
      <w:r>
        <w:rPr>
          <w:rFonts w:hint="eastAsia" w:ascii="宋体" w:hAnsi="宋体" w:cs="宋体"/>
          <w:sz w:val="24"/>
        </w:rPr>
        <w:t>4.2  投标人应认真阅读招标文件所有的事项、格式、条款和技术规范等。如投标人没有按照招标文件要求提交全部资料，或者投标文件没有对招标文件在各方面都做出实质性响应是投标人的风险，并可能导致其投标被拒绝。</w:t>
      </w:r>
    </w:p>
    <w:p>
      <w:pPr>
        <w:adjustRightInd w:val="0"/>
        <w:snapToGrid w:val="0"/>
        <w:spacing w:line="360" w:lineRule="auto"/>
        <w:outlineLvl w:val="2"/>
        <w:rPr>
          <w:rFonts w:ascii="宋体" w:hAnsi="宋体" w:cs="宋体"/>
          <w:b/>
          <w:bCs/>
          <w:sz w:val="24"/>
        </w:rPr>
      </w:pPr>
      <w:bookmarkStart w:id="28" w:name="_Toc31050"/>
      <w:r>
        <w:rPr>
          <w:rFonts w:hint="eastAsia" w:ascii="宋体" w:hAnsi="宋体" w:cs="宋体"/>
          <w:b/>
          <w:bCs/>
          <w:sz w:val="24"/>
        </w:rPr>
        <w:t>5.招标文件的澄清和异议</w:t>
      </w:r>
      <w:bookmarkEnd w:id="28"/>
    </w:p>
    <w:p>
      <w:pPr>
        <w:pStyle w:val="23"/>
        <w:adjustRightInd w:val="0"/>
        <w:snapToGrid w:val="0"/>
        <w:spacing w:before="0" w:beforeAutospacing="0" w:after="0" w:afterAutospacing="0" w:line="360" w:lineRule="auto"/>
        <w:ind w:firstLine="240" w:firstLineChars="100"/>
        <w:jc w:val="both"/>
      </w:pPr>
      <w:bookmarkStart w:id="29" w:name="_Toc16938528"/>
      <w:bookmarkStart w:id="30" w:name="_Toc20823284"/>
      <w:bookmarkStart w:id="31" w:name="_Toc462564071"/>
      <w:bookmarkStart w:id="32" w:name="_Toc513029212"/>
      <w:r>
        <w:rPr>
          <w:rFonts w:hint="eastAsia"/>
        </w:rPr>
        <w:t>5.1  任何要求对招标文件进行澄清或对招标文件有异议的投标人，均须在法定时间内（以公告截止时间起算）以书面形式送达采购人或采购代理机构（联系方式见“招标公告”）。逾期递交对招标文件要求进行澄清或对招标文件有异议的将不予受理。</w:t>
      </w:r>
    </w:p>
    <w:p>
      <w:pPr>
        <w:pStyle w:val="23"/>
        <w:adjustRightInd w:val="0"/>
        <w:snapToGrid w:val="0"/>
        <w:spacing w:before="0" w:beforeAutospacing="0" w:after="0" w:afterAutospacing="0" w:line="360" w:lineRule="auto"/>
        <w:ind w:firstLine="240" w:firstLineChars="100"/>
        <w:jc w:val="both"/>
      </w:pPr>
      <w:r>
        <w:rPr>
          <w:rFonts w:hint="eastAsia"/>
        </w:rPr>
        <w:t>5.2  采购人或者采购代理机构对规定时间内收到的澄清要求和对异议的答复，将在响水县人民政府网-招投标信息</w:t>
      </w:r>
    </w:p>
    <w:p>
      <w:pPr>
        <w:pStyle w:val="23"/>
        <w:adjustRightInd w:val="0"/>
        <w:snapToGrid w:val="0"/>
        <w:spacing w:before="0" w:beforeAutospacing="0" w:after="0" w:afterAutospacing="0" w:line="360" w:lineRule="auto"/>
        <w:ind w:firstLine="240" w:firstLineChars="100"/>
        <w:jc w:val="both"/>
      </w:pPr>
      <w:r>
        <w:rPr>
          <w:rFonts w:hint="eastAsia"/>
        </w:rPr>
        <w:t>(http://www.xiangshui.gov.cn/col/col34033/index.html)“国企采购-招标公告”栏下载，请投标人自行查看，否则后果自负。</w:t>
      </w:r>
    </w:p>
    <w:p>
      <w:pPr>
        <w:pStyle w:val="23"/>
        <w:adjustRightInd w:val="0"/>
        <w:snapToGrid w:val="0"/>
        <w:spacing w:before="0" w:beforeAutospacing="0" w:after="0" w:afterAutospacing="0" w:line="360" w:lineRule="auto"/>
        <w:ind w:firstLine="240" w:firstLineChars="100"/>
        <w:jc w:val="both"/>
      </w:pPr>
      <w:r>
        <w:rPr>
          <w:rFonts w:hint="eastAsia"/>
        </w:rPr>
        <w:t>5.3  澄清或者对异议的答复作为招标文件的组成部分。</w:t>
      </w:r>
    </w:p>
    <w:p>
      <w:pPr>
        <w:pStyle w:val="23"/>
        <w:adjustRightInd w:val="0"/>
        <w:snapToGrid w:val="0"/>
        <w:spacing w:before="0" w:beforeAutospacing="0" w:after="0" w:afterAutospacing="0" w:line="360" w:lineRule="auto"/>
        <w:ind w:firstLine="240" w:firstLineChars="100"/>
        <w:jc w:val="both"/>
      </w:pPr>
      <w:r>
        <w:rPr>
          <w:rFonts w:hint="eastAsia"/>
        </w:rPr>
        <w:t>5.4  澄清或者对异议的答复内容可能影响投标文件编制的，采购人或者采购代理机构应当在投标截止时间至少15日前，以5.2条款的形式通知所有获取招标文件的潜在投标人；不足15日的，采购人或者采购代理机构应当顺延提交投标文件的截止时间。</w:t>
      </w:r>
    </w:p>
    <w:p>
      <w:pPr>
        <w:spacing w:line="360" w:lineRule="auto"/>
        <w:outlineLvl w:val="2"/>
        <w:rPr>
          <w:rFonts w:ascii="宋体" w:hAnsi="宋体" w:cs="宋体"/>
          <w:b/>
          <w:sz w:val="24"/>
        </w:rPr>
      </w:pPr>
      <w:bookmarkStart w:id="33" w:name="_Toc15888"/>
      <w:r>
        <w:rPr>
          <w:rFonts w:hint="eastAsia" w:ascii="宋体" w:hAnsi="宋体" w:cs="宋体"/>
          <w:b/>
          <w:sz w:val="24"/>
        </w:rPr>
        <w:t>6.招标文件的修改</w:t>
      </w:r>
      <w:bookmarkEnd w:id="29"/>
      <w:bookmarkEnd w:id="30"/>
      <w:bookmarkEnd w:id="31"/>
      <w:bookmarkEnd w:id="32"/>
      <w:bookmarkEnd w:id="33"/>
    </w:p>
    <w:p>
      <w:pPr>
        <w:adjustRightInd w:val="0"/>
        <w:snapToGrid w:val="0"/>
        <w:spacing w:line="360" w:lineRule="auto"/>
        <w:ind w:firstLine="240" w:firstLineChars="100"/>
        <w:rPr>
          <w:rFonts w:ascii="宋体" w:hAnsi="宋体" w:cs="宋体"/>
          <w:sz w:val="24"/>
        </w:rPr>
      </w:pPr>
      <w:r>
        <w:rPr>
          <w:rFonts w:hint="eastAsia" w:ascii="宋体" w:hAnsi="宋体" w:cs="宋体"/>
          <w:sz w:val="24"/>
        </w:rPr>
        <w:t>6.1  在投标截止期前的任何时候，无论出于何种原因，采购人或者采购代理机构均可主动地或在解答投标人提出的澄清问题时对招标文件进行修改。</w:t>
      </w:r>
    </w:p>
    <w:p>
      <w:pPr>
        <w:widowControl/>
        <w:tabs>
          <w:tab w:val="left" w:pos="900"/>
        </w:tabs>
        <w:adjustRightInd w:val="0"/>
        <w:snapToGrid w:val="0"/>
        <w:spacing w:line="360" w:lineRule="auto"/>
        <w:ind w:firstLine="240" w:firstLineChars="100"/>
        <w:rPr>
          <w:rFonts w:ascii="宋体" w:hAnsi="宋体" w:cs="宋体"/>
          <w:sz w:val="24"/>
        </w:rPr>
      </w:pPr>
      <w:r>
        <w:rPr>
          <w:rFonts w:hint="eastAsia" w:ascii="宋体" w:hAnsi="宋体" w:cs="宋体"/>
          <w:sz w:val="24"/>
        </w:rPr>
        <w:t>6.2  采购人或者采购代理机构对澄清或修改内容，将在响水县人民政府网-招投标信息(http://www.xiangshui.gov.cn/col/col34033/index.html)“国企采购-招标公告”上公布，请投标人自行查看，否则后果自负。</w:t>
      </w:r>
    </w:p>
    <w:p>
      <w:pPr>
        <w:pStyle w:val="23"/>
        <w:adjustRightInd w:val="0"/>
        <w:snapToGrid w:val="0"/>
        <w:spacing w:before="0" w:beforeAutospacing="0" w:after="0" w:afterAutospacing="0" w:line="360" w:lineRule="auto"/>
        <w:ind w:firstLine="240" w:firstLineChars="100"/>
      </w:pPr>
      <w:r>
        <w:rPr>
          <w:rFonts w:hint="eastAsia"/>
        </w:rPr>
        <w:t>6.3  澄清或者修改的内容作为招标文件的组成部分。</w:t>
      </w:r>
    </w:p>
    <w:p>
      <w:pPr>
        <w:pStyle w:val="23"/>
        <w:adjustRightInd w:val="0"/>
        <w:snapToGrid w:val="0"/>
        <w:spacing w:before="0" w:beforeAutospacing="0" w:after="0" w:afterAutospacing="0" w:line="360" w:lineRule="auto"/>
        <w:ind w:firstLine="240" w:firstLineChars="100"/>
        <w:jc w:val="both"/>
      </w:pPr>
      <w:r>
        <w:rPr>
          <w:rFonts w:hint="eastAsia"/>
        </w:rPr>
        <w:t>6.4  澄清或者修改的内容可能影响投标文件编制的，采购人或者采购代理机构应当在投标截止时间至少15日前，以6.2条款的形式通知所有获取招标文件的潜在投标人；不足15日的，采购人或者采购代理机构应当顺延提交投标文件的截止时间。</w:t>
      </w:r>
    </w:p>
    <w:p>
      <w:pPr>
        <w:spacing w:line="360" w:lineRule="auto"/>
        <w:ind w:firstLine="301"/>
        <w:jc w:val="center"/>
        <w:outlineLvl w:val="1"/>
        <w:rPr>
          <w:rFonts w:ascii="宋体" w:hAnsi="宋体" w:cs="宋体"/>
          <w:b/>
          <w:bCs/>
          <w:sz w:val="30"/>
          <w:szCs w:val="30"/>
        </w:rPr>
      </w:pPr>
      <w:bookmarkStart w:id="34" w:name="_Toc11869"/>
      <w:bookmarkStart w:id="35" w:name="_Toc3291"/>
      <w:r>
        <w:rPr>
          <w:rFonts w:hint="eastAsia" w:ascii="宋体" w:hAnsi="宋体" w:cs="宋体"/>
          <w:b/>
          <w:bCs/>
          <w:sz w:val="30"/>
          <w:szCs w:val="30"/>
        </w:rPr>
        <w:t>三、投标文件的编制</w:t>
      </w:r>
      <w:bookmarkEnd w:id="34"/>
      <w:bookmarkEnd w:id="35"/>
    </w:p>
    <w:p>
      <w:pPr>
        <w:spacing w:line="360" w:lineRule="auto"/>
        <w:outlineLvl w:val="2"/>
        <w:rPr>
          <w:rFonts w:ascii="宋体" w:hAnsi="宋体" w:cs="宋体"/>
          <w:b/>
          <w:bCs/>
          <w:sz w:val="24"/>
        </w:rPr>
      </w:pPr>
      <w:bookmarkStart w:id="36" w:name="_Toc11914"/>
      <w:r>
        <w:rPr>
          <w:rFonts w:hint="eastAsia" w:ascii="宋体" w:hAnsi="宋体" w:cs="宋体"/>
          <w:b/>
          <w:bCs/>
          <w:sz w:val="24"/>
        </w:rPr>
        <w:t>7.投标文字及投标文件中计量单位的使用</w:t>
      </w:r>
      <w:bookmarkEnd w:id="36"/>
    </w:p>
    <w:p>
      <w:pPr>
        <w:spacing w:line="360" w:lineRule="auto"/>
        <w:ind w:firstLine="240" w:firstLineChars="100"/>
        <w:rPr>
          <w:rFonts w:ascii="宋体" w:hAnsi="宋体" w:cs="宋体"/>
          <w:sz w:val="24"/>
        </w:rPr>
      </w:pPr>
      <w:r>
        <w:rPr>
          <w:rFonts w:hint="eastAsia" w:ascii="宋体" w:hAnsi="宋体" w:cs="宋体"/>
          <w:sz w:val="24"/>
        </w:rPr>
        <w:t>投标文件中应使用中文，外文的除提供外文外应将外文翻译成中文并保证准确性。计量单位，除招标文件中有特殊要求外，应采用中华人民共和国法定计量单位。</w:t>
      </w:r>
    </w:p>
    <w:p>
      <w:pPr>
        <w:spacing w:line="360" w:lineRule="auto"/>
        <w:outlineLvl w:val="2"/>
        <w:rPr>
          <w:rFonts w:ascii="宋体" w:hAnsi="宋体" w:cs="宋体"/>
          <w:b/>
          <w:bCs/>
          <w:sz w:val="24"/>
        </w:rPr>
      </w:pPr>
      <w:bookmarkStart w:id="37" w:name="_Toc21494"/>
      <w:r>
        <w:rPr>
          <w:rFonts w:hint="eastAsia" w:ascii="宋体" w:hAnsi="宋体" w:cs="宋体"/>
          <w:b/>
          <w:bCs/>
          <w:sz w:val="24"/>
        </w:rPr>
        <w:t>8.投标文件构成</w:t>
      </w:r>
      <w:bookmarkEnd w:id="37"/>
    </w:p>
    <w:p>
      <w:pPr>
        <w:spacing w:line="360" w:lineRule="auto"/>
        <w:ind w:firstLine="240" w:firstLineChars="100"/>
        <w:rPr>
          <w:rFonts w:ascii="宋体" w:hAnsi="宋体" w:cs="宋体"/>
          <w:sz w:val="24"/>
        </w:rPr>
      </w:pPr>
      <w:bookmarkStart w:id="38" w:name="_Toc26187"/>
      <w:r>
        <w:rPr>
          <w:rFonts w:hint="eastAsia" w:ascii="宋体" w:hAnsi="宋体" w:cs="宋体"/>
          <w:sz w:val="24"/>
        </w:rPr>
        <w:t>投标人应完整地按招标文件提供的投标文件格式填写投标文件，投标文件应包括以下内容（格式见第五章）：投标函、法定代表人（负责人）身份证明书、授权委托书（如果有）、开标一览表、投标分项报价表、技术参数偏离表、资格证明文件、投标人承诺的服务条款、事前信用承诺书、招标文件要求提供或投标人认为有必要提供的其他文件。</w:t>
      </w:r>
    </w:p>
    <w:p>
      <w:pPr>
        <w:spacing w:line="360" w:lineRule="auto"/>
        <w:outlineLvl w:val="2"/>
        <w:rPr>
          <w:rFonts w:ascii="宋体" w:hAnsi="宋体" w:cs="宋体"/>
          <w:b/>
          <w:bCs/>
          <w:sz w:val="24"/>
        </w:rPr>
      </w:pPr>
      <w:r>
        <w:rPr>
          <w:rFonts w:hint="eastAsia" w:ascii="宋体" w:hAnsi="宋体" w:cs="宋体"/>
          <w:b/>
          <w:bCs/>
          <w:sz w:val="24"/>
        </w:rPr>
        <w:t>9.货物的合格性和符合招标文件规定的文件</w:t>
      </w:r>
      <w:bookmarkEnd w:id="38"/>
    </w:p>
    <w:p>
      <w:pPr>
        <w:spacing w:line="360" w:lineRule="auto"/>
        <w:ind w:firstLine="240" w:firstLineChars="100"/>
        <w:rPr>
          <w:rFonts w:ascii="宋体" w:hAnsi="宋体" w:cs="宋体"/>
          <w:sz w:val="24"/>
        </w:rPr>
      </w:pPr>
      <w:r>
        <w:rPr>
          <w:rFonts w:hint="eastAsia" w:ascii="宋体" w:hAnsi="宋体" w:cs="宋体"/>
          <w:sz w:val="24"/>
        </w:rPr>
        <w:t>9.1  投标人所供货物和服务必须符合招标文件规定。</w:t>
      </w:r>
    </w:p>
    <w:p>
      <w:pPr>
        <w:adjustRightInd w:val="0"/>
        <w:snapToGrid w:val="0"/>
        <w:spacing w:line="360" w:lineRule="auto"/>
        <w:ind w:firstLine="240" w:firstLineChars="100"/>
        <w:rPr>
          <w:rFonts w:ascii="宋体" w:hAnsi="宋体" w:cs="宋体"/>
        </w:rPr>
      </w:pPr>
      <w:r>
        <w:rPr>
          <w:rFonts w:hint="eastAsia" w:ascii="宋体" w:hAnsi="宋体" w:cs="宋体"/>
          <w:sz w:val="24"/>
        </w:rPr>
        <w:t>9.2</w:t>
      </w:r>
      <w:r>
        <w:rPr>
          <w:rFonts w:hint="eastAsia" w:ascii="宋体" w:hAnsi="宋体" w:cs="宋体"/>
          <w:kern w:val="0"/>
          <w:sz w:val="24"/>
        </w:rPr>
        <w:t xml:space="preserve">  对照招标文件</w:t>
      </w:r>
      <w:r>
        <w:rPr>
          <w:rFonts w:hint="eastAsia" w:ascii="宋体" w:hAnsi="宋体" w:cs="宋体"/>
          <w:sz w:val="24"/>
        </w:rPr>
        <w:t>技术规格，逐条说明所提供货物和服务已对招标文件的技术规格做出了实质性的响应，或申明与技术规格条文的偏差和例外。</w:t>
      </w:r>
    </w:p>
    <w:p>
      <w:pPr>
        <w:spacing w:line="360" w:lineRule="auto"/>
        <w:outlineLvl w:val="2"/>
        <w:rPr>
          <w:rFonts w:ascii="宋体" w:hAnsi="宋体" w:cs="宋体"/>
          <w:b/>
          <w:bCs/>
          <w:sz w:val="24"/>
        </w:rPr>
      </w:pPr>
      <w:bookmarkStart w:id="39" w:name="_Toc2610"/>
      <w:r>
        <w:rPr>
          <w:rFonts w:hint="eastAsia" w:ascii="宋体" w:hAnsi="宋体" w:cs="宋体"/>
          <w:b/>
          <w:bCs/>
          <w:sz w:val="24"/>
        </w:rPr>
        <w:t>10.投标报价</w:t>
      </w:r>
      <w:bookmarkEnd w:id="39"/>
    </w:p>
    <w:p>
      <w:pPr>
        <w:spacing w:line="360" w:lineRule="auto"/>
        <w:ind w:firstLine="240" w:firstLineChars="100"/>
        <w:rPr>
          <w:rFonts w:ascii="宋体" w:hAnsi="宋体" w:cs="宋体"/>
          <w:sz w:val="24"/>
        </w:rPr>
      </w:pPr>
      <w:r>
        <w:rPr>
          <w:rFonts w:hint="eastAsia" w:ascii="宋体" w:hAnsi="宋体" w:cs="宋体"/>
          <w:sz w:val="24"/>
        </w:rPr>
        <w:t>10.1  所有投标均以人民币报价。投标人的投标报价应遵守“中华人民共和国价格法”。</w:t>
      </w:r>
    </w:p>
    <w:p>
      <w:pPr>
        <w:spacing w:line="360" w:lineRule="auto"/>
        <w:ind w:firstLine="240" w:firstLineChars="100"/>
        <w:rPr>
          <w:rFonts w:ascii="宋体" w:hAnsi="宋体" w:cs="宋体"/>
          <w:sz w:val="24"/>
        </w:rPr>
      </w:pPr>
      <w:r>
        <w:rPr>
          <w:rFonts w:hint="eastAsia" w:ascii="宋体" w:hAnsi="宋体" w:cs="宋体"/>
          <w:sz w:val="24"/>
        </w:rPr>
        <w:t>10.2  投标人应在投标分项报价表上标明投标货物及相关服务的单价(如适用)和总价，并由法定代表人（负责人）或其授权代表签署。</w:t>
      </w:r>
    </w:p>
    <w:p>
      <w:pPr>
        <w:spacing w:line="360" w:lineRule="auto"/>
        <w:ind w:firstLine="240" w:firstLineChars="100"/>
        <w:rPr>
          <w:rFonts w:ascii="宋体" w:hAnsi="宋体" w:cs="宋体"/>
          <w:bCs/>
          <w:sz w:val="24"/>
        </w:rPr>
      </w:pPr>
      <w:r>
        <w:rPr>
          <w:rFonts w:hint="eastAsia" w:ascii="宋体" w:hAnsi="宋体" w:cs="宋体"/>
          <w:sz w:val="24"/>
        </w:rPr>
        <w:t xml:space="preserve">10.3  </w:t>
      </w:r>
      <w:r>
        <w:rPr>
          <w:rFonts w:hint="eastAsia" w:ascii="宋体" w:hAnsi="宋体" w:cs="宋体"/>
          <w:bCs/>
          <w:sz w:val="24"/>
        </w:rPr>
        <w:t>合同定价方式：</w:t>
      </w:r>
      <w:r>
        <w:rPr>
          <w:rFonts w:hint="eastAsia" w:ascii="宋体" w:hAnsi="宋体" w:cs="宋体"/>
          <w:b/>
          <w:bCs/>
          <w:kern w:val="0"/>
          <w:sz w:val="24"/>
        </w:rPr>
        <w:t>A价＋B价。</w:t>
      </w:r>
    </w:p>
    <w:p>
      <w:pPr>
        <w:widowControl/>
        <w:spacing w:line="360" w:lineRule="auto"/>
        <w:ind w:firstLine="240" w:firstLineChars="100"/>
        <w:rPr>
          <w:rFonts w:ascii="宋体" w:hAnsi="宋体" w:cs="宋体"/>
          <w:kern w:val="0"/>
          <w:sz w:val="24"/>
        </w:rPr>
      </w:pPr>
      <w:r>
        <w:rPr>
          <w:rFonts w:hint="eastAsia" w:ascii="宋体" w:hAnsi="宋体" w:cs="宋体"/>
          <w:kern w:val="0"/>
          <w:sz w:val="24"/>
        </w:rPr>
        <w:t>A价为订货当日CCI指数动力煤</w:t>
      </w:r>
      <w:r>
        <w:rPr>
          <w:rFonts w:hint="eastAsia" w:ascii="宋体" w:hAnsi="宋体" w:cs="宋体"/>
          <w:kern w:val="0"/>
          <w:sz w:val="24"/>
          <w:lang w:val="en-US" w:eastAsia="zh-CN"/>
        </w:rPr>
        <w:t>50</w:t>
      </w:r>
      <w:r>
        <w:rPr>
          <w:rFonts w:hint="eastAsia" w:ascii="宋体" w:hAnsi="宋体" w:cs="宋体"/>
          <w:kern w:val="0"/>
          <w:sz w:val="24"/>
        </w:rPr>
        <w:t>00大卡均价，</w:t>
      </w:r>
    </w:p>
    <w:p>
      <w:pPr>
        <w:widowControl/>
        <w:spacing w:line="360" w:lineRule="auto"/>
        <w:ind w:firstLine="240" w:firstLineChars="100"/>
        <w:rPr>
          <w:rFonts w:ascii="宋体" w:hAnsi="宋体" w:cs="宋体"/>
          <w:kern w:val="0"/>
          <w:sz w:val="24"/>
        </w:rPr>
      </w:pPr>
      <w:r>
        <w:rPr>
          <w:rFonts w:hint="eastAsia" w:ascii="宋体" w:hAnsi="宋体" w:cs="宋体"/>
          <w:kern w:val="0"/>
          <w:sz w:val="24"/>
        </w:rPr>
        <w:t>B价包括买方运费、港口费、吨位和大卡损耗、税金、买方资金成本及利润。</w:t>
      </w:r>
    </w:p>
    <w:p>
      <w:pPr>
        <w:widowControl/>
        <w:spacing w:line="360" w:lineRule="auto"/>
        <w:ind w:firstLine="240" w:firstLineChars="100"/>
        <w:rPr>
          <w:rFonts w:ascii="宋体" w:hAnsi="宋体" w:cs="宋体"/>
          <w:kern w:val="0"/>
          <w:sz w:val="24"/>
        </w:rPr>
      </w:pPr>
      <w:r>
        <w:rPr>
          <w:rFonts w:hint="eastAsia" w:ascii="宋体" w:hAnsi="宋体" w:cs="宋体"/>
          <w:kern w:val="0"/>
          <w:sz w:val="24"/>
        </w:rPr>
        <w:t>A价为固定价格，卖方对B价进行核算报价。此价格为到英奇热电煤库一票制</w:t>
      </w:r>
      <w:r>
        <w:rPr>
          <w:rFonts w:hint="eastAsia" w:ascii="宋体" w:hAnsi="宋体" w:cs="宋体"/>
          <w:b/>
          <w:bCs/>
          <w:kern w:val="0"/>
          <w:sz w:val="24"/>
        </w:rPr>
        <w:t>13%</w:t>
      </w:r>
      <w:r>
        <w:rPr>
          <w:rFonts w:hint="eastAsia" w:ascii="宋体" w:hAnsi="宋体" w:cs="宋体"/>
          <w:kern w:val="0"/>
          <w:sz w:val="24"/>
        </w:rPr>
        <w:t>含税价。</w:t>
      </w:r>
    </w:p>
    <w:p>
      <w:pPr>
        <w:widowControl/>
        <w:spacing w:line="360" w:lineRule="auto"/>
        <w:ind w:firstLine="240" w:firstLineChars="100"/>
        <w:rPr>
          <w:rFonts w:ascii="宋体" w:hAnsi="宋体" w:cs="宋体"/>
          <w:kern w:val="0"/>
          <w:sz w:val="24"/>
          <w:highlight w:val="none"/>
        </w:rPr>
      </w:pPr>
      <w:r>
        <w:rPr>
          <w:rFonts w:hint="eastAsia" w:ascii="宋体" w:hAnsi="宋体" w:cs="宋体"/>
          <w:kern w:val="0"/>
          <w:sz w:val="24"/>
        </w:rPr>
        <w:t>B价最高限价</w:t>
      </w:r>
      <w:r>
        <w:rPr>
          <w:rFonts w:hint="eastAsia" w:ascii="宋体" w:hAnsi="宋体" w:cs="宋体"/>
          <w:kern w:val="0"/>
          <w:sz w:val="24"/>
          <w:highlight w:val="none"/>
        </w:rPr>
        <w:t>为：</w:t>
      </w:r>
      <w:r>
        <w:rPr>
          <w:rFonts w:hint="eastAsia" w:ascii="宋体" w:hAnsi="宋体" w:cs="宋体"/>
          <w:kern w:val="0"/>
          <w:sz w:val="24"/>
          <w:highlight w:val="yellow"/>
          <w:u w:val="single"/>
        </w:rPr>
        <w:t>1</w:t>
      </w:r>
      <w:r>
        <w:rPr>
          <w:rFonts w:hint="eastAsia" w:ascii="宋体" w:hAnsi="宋体" w:cs="宋体"/>
          <w:kern w:val="0"/>
          <w:sz w:val="24"/>
          <w:highlight w:val="yellow"/>
          <w:u w:val="single"/>
          <w:lang w:val="en-US" w:eastAsia="zh-CN"/>
        </w:rPr>
        <w:t>4</w:t>
      </w:r>
      <w:r>
        <w:rPr>
          <w:rFonts w:hint="eastAsia" w:ascii="宋体" w:hAnsi="宋体" w:cs="宋体"/>
          <w:kern w:val="0"/>
          <w:sz w:val="24"/>
          <w:highlight w:val="yellow"/>
          <w:u w:val="single"/>
        </w:rPr>
        <w:t>0元</w:t>
      </w:r>
      <w:r>
        <w:rPr>
          <w:rFonts w:hint="eastAsia" w:ascii="宋体" w:hAnsi="宋体" w:cs="宋体"/>
          <w:kern w:val="0"/>
          <w:sz w:val="24"/>
          <w:highlight w:val="none"/>
        </w:rPr>
        <w:t>，超过最高限价为无效标。</w:t>
      </w:r>
    </w:p>
    <w:p>
      <w:pPr>
        <w:widowControl/>
        <w:spacing w:line="360" w:lineRule="auto"/>
        <w:ind w:left="-365" w:leftChars="-174" w:firstLine="602" w:firstLineChars="250"/>
        <w:rPr>
          <w:rFonts w:ascii="宋体" w:hAnsi="宋体" w:cs="宋体"/>
          <w:bCs/>
          <w:sz w:val="24"/>
        </w:rPr>
      </w:pPr>
      <w:r>
        <w:rPr>
          <w:rFonts w:hint="eastAsia" w:ascii="宋体" w:hAnsi="宋体" w:cs="宋体"/>
          <w:b/>
          <w:bCs/>
          <w:sz w:val="24"/>
          <w:highlight w:val="none"/>
        </w:rPr>
        <w:t>本项目实行委托招标，</w:t>
      </w:r>
      <w:r>
        <w:rPr>
          <w:rFonts w:hint="eastAsia" w:ascii="宋体" w:hAnsi="宋体" w:eastAsia="宋体" w:cs="宋体"/>
          <w:b/>
          <w:bCs/>
          <w:sz w:val="24"/>
          <w:highlight w:val="none"/>
          <w:lang w:eastAsia="zh-CN"/>
        </w:rPr>
        <w:t>招标代理费</w:t>
      </w:r>
      <w:r>
        <w:rPr>
          <w:rFonts w:hint="eastAsia" w:ascii="宋体" w:hAnsi="宋体" w:eastAsia="宋体" w:cs="宋体"/>
          <w:b/>
          <w:bCs/>
          <w:sz w:val="24"/>
          <w:highlight w:val="none"/>
          <w:lang w:val="en-US" w:eastAsia="zh-CN"/>
        </w:rPr>
        <w:t>为</w:t>
      </w:r>
      <w:r>
        <w:rPr>
          <w:rFonts w:hint="eastAsia" w:ascii="宋体" w:hAnsi="宋体" w:cs="宋体"/>
          <w:b/>
          <w:bCs/>
          <w:sz w:val="24"/>
          <w:highlight w:val="none"/>
          <w:u w:val="single"/>
          <w:lang w:val="en-US" w:eastAsia="zh-CN"/>
        </w:rPr>
        <w:t>陆万捌仟</w:t>
      </w:r>
      <w:r>
        <w:rPr>
          <w:rFonts w:hint="eastAsia" w:ascii="宋体" w:hAnsi="宋体" w:eastAsia="宋体" w:cs="宋体"/>
          <w:b/>
          <w:bCs/>
          <w:sz w:val="24"/>
          <w:highlight w:val="none"/>
          <w:lang w:val="en-US" w:eastAsia="zh-CN"/>
        </w:rPr>
        <w:t>元，</w:t>
      </w:r>
      <w:r>
        <w:rPr>
          <w:rFonts w:hint="eastAsia" w:ascii="宋体" w:hAnsi="宋体" w:cs="宋体"/>
          <w:b/>
          <w:bCs/>
          <w:sz w:val="24"/>
        </w:rPr>
        <w:t>由采购人在领取中标通知书时一次性支付给相关单位。</w:t>
      </w:r>
    </w:p>
    <w:p>
      <w:pPr>
        <w:spacing w:line="360" w:lineRule="auto"/>
        <w:ind w:firstLine="240" w:firstLineChars="100"/>
        <w:rPr>
          <w:rFonts w:ascii="宋体" w:hAnsi="宋体" w:cs="宋体"/>
          <w:bCs/>
          <w:sz w:val="24"/>
        </w:rPr>
      </w:pPr>
      <w:r>
        <w:rPr>
          <w:rFonts w:hint="eastAsia" w:ascii="宋体" w:hAnsi="宋体" w:cs="宋体"/>
          <w:bCs/>
          <w:sz w:val="24"/>
        </w:rPr>
        <w:t>10.</w:t>
      </w:r>
      <w:r>
        <w:rPr>
          <w:rFonts w:ascii="宋体" w:hAnsi="宋体" w:cs="宋体"/>
          <w:bCs/>
          <w:sz w:val="24"/>
        </w:rPr>
        <w:t>4</w:t>
      </w:r>
      <w:r>
        <w:rPr>
          <w:rFonts w:hint="eastAsia" w:ascii="宋体" w:hAnsi="宋体" w:cs="宋体"/>
          <w:bCs/>
          <w:sz w:val="24"/>
        </w:rPr>
        <w:t xml:space="preserve">  投标费用：投标人应承担其编制和递交投标文件所涉及的一切费用，无论投标结果如何，招标人和招标代理机构在任何情况下均无义务和责任承担此项费用。</w:t>
      </w:r>
    </w:p>
    <w:p>
      <w:pPr>
        <w:spacing w:line="360" w:lineRule="auto"/>
        <w:ind w:firstLine="240" w:firstLineChars="100"/>
        <w:rPr>
          <w:rFonts w:ascii="宋体" w:hAnsi="宋体" w:cs="宋体"/>
          <w:bCs/>
          <w:sz w:val="24"/>
        </w:rPr>
      </w:pPr>
      <w:r>
        <w:rPr>
          <w:rFonts w:hint="eastAsia" w:ascii="宋体" w:hAnsi="宋体" w:cs="宋体"/>
          <w:bCs/>
          <w:sz w:val="24"/>
        </w:rPr>
        <w:t>10.</w:t>
      </w:r>
      <w:r>
        <w:rPr>
          <w:rFonts w:ascii="宋体" w:hAnsi="宋体" w:cs="宋体"/>
          <w:bCs/>
          <w:sz w:val="24"/>
        </w:rPr>
        <w:t>5</w:t>
      </w:r>
      <w:r>
        <w:rPr>
          <w:rFonts w:hint="eastAsia" w:ascii="宋体" w:hAnsi="宋体" w:cs="宋体"/>
          <w:sz w:val="24"/>
        </w:rPr>
        <w:t xml:space="preserve">  投标人所报的各分项投标单价在合同履行过程中是固定不变的，不得以任何理由予以变更。任何包含价格调整要求的投标，将被认为是非响应性投标而予以拒绝。</w:t>
      </w:r>
    </w:p>
    <w:p>
      <w:pPr>
        <w:spacing w:line="360" w:lineRule="auto"/>
        <w:ind w:firstLine="240" w:firstLineChars="100"/>
        <w:outlineLvl w:val="2"/>
        <w:rPr>
          <w:rFonts w:ascii="宋体" w:hAnsi="宋体" w:cs="宋体"/>
          <w:sz w:val="24"/>
        </w:rPr>
      </w:pPr>
      <w:r>
        <w:rPr>
          <w:rFonts w:hint="eastAsia" w:ascii="宋体" w:hAnsi="宋体" w:cs="宋体"/>
          <w:sz w:val="24"/>
        </w:rPr>
        <w:t>10.</w:t>
      </w:r>
      <w:r>
        <w:rPr>
          <w:rFonts w:ascii="宋体" w:hAnsi="宋体" w:cs="宋体"/>
          <w:sz w:val="24"/>
        </w:rPr>
        <w:t>6</w:t>
      </w:r>
      <w:r>
        <w:rPr>
          <w:rFonts w:hint="eastAsia" w:ascii="宋体" w:hAnsi="宋体" w:cs="宋体"/>
          <w:sz w:val="24"/>
        </w:rPr>
        <w:t xml:space="preserve">  每种货物和服务只能有一个投标报价。</w:t>
      </w:r>
      <w:bookmarkStart w:id="40" w:name="_Toc26233"/>
    </w:p>
    <w:p>
      <w:pPr>
        <w:spacing w:line="360" w:lineRule="auto"/>
        <w:outlineLvl w:val="2"/>
        <w:rPr>
          <w:rFonts w:ascii="宋体" w:hAnsi="宋体" w:cs="宋体"/>
          <w:b/>
          <w:bCs/>
          <w:sz w:val="24"/>
        </w:rPr>
      </w:pPr>
      <w:r>
        <w:rPr>
          <w:rFonts w:hint="eastAsia" w:ascii="宋体" w:hAnsi="宋体" w:cs="宋体"/>
          <w:b/>
          <w:bCs/>
          <w:sz w:val="24"/>
        </w:rPr>
        <w:t>11.资格证明文件</w:t>
      </w:r>
      <w:bookmarkEnd w:id="40"/>
    </w:p>
    <w:p>
      <w:pPr>
        <w:spacing w:line="360" w:lineRule="auto"/>
        <w:ind w:firstLine="240" w:firstLineChars="100"/>
        <w:rPr>
          <w:rFonts w:ascii="宋体" w:hAnsi="宋体" w:cs="宋体"/>
          <w:sz w:val="24"/>
        </w:rPr>
      </w:pPr>
      <w:r>
        <w:rPr>
          <w:rFonts w:hint="eastAsia" w:ascii="宋体" w:hAnsi="宋体" w:cs="宋体"/>
          <w:sz w:val="24"/>
        </w:rPr>
        <w:t>资格证明文件包括：</w:t>
      </w:r>
      <w:r>
        <w:rPr>
          <w:rStyle w:val="50"/>
          <w:rFonts w:hint="eastAsia" w:ascii="宋体" w:hAnsi="宋体" w:cs="宋体"/>
          <w:b/>
          <w:bCs/>
          <w:color w:val="0000FF"/>
          <w:sz w:val="24"/>
        </w:rPr>
        <w:t>营业执照</w:t>
      </w:r>
      <w:r>
        <w:rPr>
          <w:rStyle w:val="50"/>
          <w:rFonts w:hint="eastAsia" w:ascii="宋体" w:hAnsi="宋体" w:cs="宋体"/>
          <w:b/>
          <w:bCs/>
          <w:color w:val="0000FF"/>
          <w:sz w:val="24"/>
          <w:lang w:eastAsia="zh-CN"/>
        </w:rPr>
        <w:t>；</w:t>
      </w:r>
      <w:r>
        <w:rPr>
          <w:rStyle w:val="50"/>
          <w:rFonts w:hint="eastAsia" w:ascii="宋体" w:hAnsi="宋体" w:cs="宋体"/>
          <w:b/>
          <w:bCs/>
          <w:color w:val="0000FF"/>
          <w:sz w:val="24"/>
        </w:rPr>
        <w:t>财务状况报告；依法缴纳税收和社会保障资金的相关材料</w:t>
      </w:r>
      <w:r>
        <w:rPr>
          <w:rStyle w:val="50"/>
          <w:rFonts w:hint="eastAsia" w:ascii="宋体" w:hAnsi="宋体" w:cs="宋体"/>
          <w:b/>
          <w:bCs/>
          <w:color w:val="0000FF"/>
          <w:sz w:val="24"/>
          <w:lang w:eastAsia="zh-CN"/>
        </w:rPr>
        <w:t>；</w:t>
      </w:r>
      <w:r>
        <w:rPr>
          <w:rStyle w:val="50"/>
          <w:rFonts w:hint="eastAsia" w:ascii="宋体" w:hAnsi="宋体" w:cs="宋体"/>
          <w:b/>
          <w:bCs/>
          <w:color w:val="0000FF"/>
          <w:sz w:val="24"/>
        </w:rPr>
        <w:t>具备履行合同所必需的设备和专业技术能力的书面声明；参加政府采购活动前3年内在经营活动中没有重大违法记录的书面声明；法律、行政法规规定的其他条件；单位负责人为同一人或者存在直接控股、管理关系的不同供应商，不得参加同一合同项下的政府采购活动</w:t>
      </w:r>
      <w:r>
        <w:rPr>
          <w:rStyle w:val="50"/>
          <w:rFonts w:hint="eastAsia" w:ascii="宋体" w:hAnsi="宋体" w:cs="宋体"/>
          <w:b/>
          <w:bCs/>
          <w:color w:val="0000FF"/>
          <w:sz w:val="24"/>
          <w:lang w:eastAsia="zh-CN"/>
        </w:rPr>
        <w:t>；</w:t>
      </w:r>
      <w:r>
        <w:rPr>
          <w:rStyle w:val="50"/>
          <w:rFonts w:hint="eastAsia" w:ascii="宋体" w:hAnsi="宋体" w:cs="宋体"/>
          <w:b/>
          <w:bCs/>
          <w:color w:val="0000FF"/>
          <w:sz w:val="24"/>
        </w:rPr>
        <w:t>在“信用中国”网站查询，未被列入失信被执行人、重大税收违法失信主体名单、严重失信主体名单及其他不符合《中华人民共和国政府采购法》第二十二条规定条件的信用记录</w:t>
      </w:r>
      <w:r>
        <w:rPr>
          <w:rStyle w:val="50"/>
          <w:rFonts w:hint="eastAsia" w:ascii="宋体" w:hAnsi="宋体" w:cs="宋体"/>
          <w:b/>
          <w:bCs/>
          <w:color w:val="0000FF"/>
          <w:sz w:val="24"/>
          <w:lang w:eastAsia="zh-CN"/>
        </w:rPr>
        <w:t>。</w:t>
      </w:r>
      <w:r>
        <w:rPr>
          <w:rStyle w:val="50"/>
          <w:rFonts w:hint="eastAsia" w:ascii="宋体" w:hAnsi="宋体" w:cs="宋体"/>
          <w:b/>
          <w:bCs/>
          <w:color w:val="0000FF"/>
          <w:sz w:val="24"/>
          <w:lang w:val="en-US" w:eastAsia="zh-CN"/>
        </w:rPr>
        <w:t>上述提供的资料均为原件彩色扫描件并加盖投标单位公章</w:t>
      </w:r>
      <w:r>
        <w:rPr>
          <w:rStyle w:val="50"/>
          <w:rFonts w:hint="eastAsia" w:ascii="宋体" w:hAnsi="宋体" w:cs="宋体"/>
          <w:b/>
          <w:bCs/>
          <w:sz w:val="24"/>
          <w:lang w:val="en-US" w:eastAsia="zh-CN"/>
        </w:rPr>
        <w:t>，</w:t>
      </w:r>
      <w:r>
        <w:rPr>
          <w:rFonts w:hint="eastAsia" w:ascii="宋体" w:hAnsi="宋体" w:cs="宋体"/>
          <w:sz w:val="24"/>
        </w:rPr>
        <w:t>否则资格不予通过。</w:t>
      </w:r>
    </w:p>
    <w:p>
      <w:pPr>
        <w:spacing w:line="360" w:lineRule="auto"/>
        <w:outlineLvl w:val="2"/>
        <w:rPr>
          <w:rFonts w:ascii="宋体" w:hAnsi="宋体" w:cs="宋体"/>
          <w:b/>
          <w:bCs/>
          <w:sz w:val="24"/>
        </w:rPr>
      </w:pPr>
      <w:bookmarkStart w:id="41" w:name="_Toc9660"/>
      <w:r>
        <w:rPr>
          <w:rFonts w:hint="eastAsia" w:ascii="宋体" w:hAnsi="宋体" w:cs="宋体"/>
          <w:b/>
          <w:bCs/>
          <w:sz w:val="24"/>
        </w:rPr>
        <w:t>12.投标有效期</w:t>
      </w:r>
      <w:bookmarkEnd w:id="41"/>
    </w:p>
    <w:p>
      <w:pPr>
        <w:spacing w:line="360" w:lineRule="auto"/>
        <w:ind w:firstLine="240" w:firstLineChars="100"/>
        <w:rPr>
          <w:rFonts w:ascii="宋体" w:hAnsi="宋体" w:cs="宋体"/>
          <w:sz w:val="24"/>
        </w:rPr>
      </w:pPr>
      <w:r>
        <w:rPr>
          <w:rFonts w:hint="eastAsia" w:ascii="宋体" w:hAnsi="宋体" w:cs="宋体"/>
          <w:sz w:val="24"/>
        </w:rPr>
        <w:t>12.1  投标有效期从提交投标文件的截止之日起算</w:t>
      </w:r>
      <w:r>
        <w:rPr>
          <w:rFonts w:hint="eastAsia" w:ascii="宋体" w:hAnsi="宋体" w:cs="宋体"/>
          <w:sz w:val="24"/>
          <w:u w:val="single"/>
        </w:rPr>
        <w:t xml:space="preserve"> 60 </w:t>
      </w:r>
      <w:r>
        <w:rPr>
          <w:rFonts w:hint="eastAsia" w:ascii="宋体" w:hAnsi="宋体" w:cs="宋体"/>
          <w:sz w:val="24"/>
        </w:rPr>
        <w:t>天，投标文件中承诺的投标有效期应当不少于招标文件中载明的投标有效期。投标有效期不满足要求的投标将被视为非响应性投标而予以拒绝。</w:t>
      </w:r>
    </w:p>
    <w:p>
      <w:pPr>
        <w:spacing w:line="360" w:lineRule="auto"/>
        <w:ind w:firstLine="240" w:firstLineChars="100"/>
        <w:rPr>
          <w:rFonts w:ascii="宋体" w:hAnsi="宋体" w:cs="宋体"/>
          <w:sz w:val="24"/>
        </w:rPr>
      </w:pPr>
      <w:r>
        <w:rPr>
          <w:rFonts w:hint="eastAsia" w:ascii="宋体" w:hAnsi="宋体" w:cs="宋体"/>
          <w:sz w:val="24"/>
        </w:rPr>
        <w:t>12.2  采购人或采购代理机构可根据实际情况，在原投标有效期截止之前，要求投标人同意延长投标文件的有效期。接受该要求的投标人将不会被要求和允许修正其投标，投标人也可以拒绝招标采购人或采购代理机构的这种要求。上述要求和答复都应以书面形式提交。</w:t>
      </w:r>
    </w:p>
    <w:p>
      <w:pPr>
        <w:spacing w:line="360" w:lineRule="auto"/>
        <w:outlineLvl w:val="2"/>
        <w:rPr>
          <w:rFonts w:ascii="宋体" w:hAnsi="宋体" w:cs="宋体"/>
          <w:b/>
          <w:bCs/>
          <w:sz w:val="24"/>
        </w:rPr>
      </w:pPr>
      <w:bookmarkStart w:id="42" w:name="_Toc13709"/>
      <w:r>
        <w:rPr>
          <w:rFonts w:hint="eastAsia" w:ascii="宋体" w:hAnsi="宋体" w:cs="宋体"/>
          <w:b/>
          <w:bCs/>
          <w:sz w:val="24"/>
        </w:rPr>
        <w:t>13.投标文件的签署及规定</w:t>
      </w:r>
      <w:bookmarkEnd w:id="42"/>
    </w:p>
    <w:p>
      <w:pPr>
        <w:widowControl/>
        <w:spacing w:line="360" w:lineRule="auto"/>
        <w:ind w:firstLine="240" w:firstLineChars="100"/>
        <w:jc w:val="left"/>
        <w:rPr>
          <w:rFonts w:ascii="宋体" w:hAnsi="宋体" w:cs="宋体"/>
          <w:sz w:val="24"/>
        </w:rPr>
      </w:pPr>
      <w:r>
        <w:rPr>
          <w:rFonts w:hint="eastAsia" w:ascii="宋体" w:hAnsi="宋体" w:cs="宋体"/>
          <w:sz w:val="24"/>
        </w:rPr>
        <w:t>13.1  投标人按要求签字盖章后生成PDF文档（PDF文档须清晰可辨，如因不清晰导致评标委员会无法评审，将被作为无效投标处理），使用压缩软件加密后发送至采购人指定的邮箱，压缩包里面有且仅有一个文件。压缩包文件名为本采购项目名称，邮箱发送主题与压缩包须标明“</w:t>
      </w:r>
      <w:r>
        <w:rPr>
          <w:rFonts w:hint="eastAsia" w:ascii="宋体" w:hAnsi="宋体" w:cs="宋体"/>
          <w:sz w:val="24"/>
          <w:lang w:eastAsia="zh-CN"/>
        </w:rPr>
        <w:t>江苏英奇热电有限公司煤炭采购项目（二次）</w:t>
      </w:r>
      <w:r>
        <w:rPr>
          <w:rFonts w:hint="eastAsia" w:ascii="宋体" w:hAnsi="宋体" w:cs="宋体"/>
          <w:sz w:val="24"/>
        </w:rPr>
        <w:t>投标文件”字样，PDF文件名称须标明“单位名称+</w:t>
      </w:r>
      <w:r>
        <w:rPr>
          <w:rFonts w:hint="eastAsia" w:ascii="宋体" w:hAnsi="宋体" w:cs="宋体"/>
          <w:sz w:val="24"/>
          <w:lang w:eastAsia="zh-CN"/>
        </w:rPr>
        <w:t>江苏英奇热电有限公司煤炭采购项目（二次）</w:t>
      </w:r>
      <w:r>
        <w:rPr>
          <w:rFonts w:hint="eastAsia" w:ascii="宋体" w:hAnsi="宋体" w:cs="宋体"/>
          <w:sz w:val="24"/>
        </w:rPr>
        <w:t>投标文件”。</w:t>
      </w:r>
    </w:p>
    <w:p>
      <w:pPr>
        <w:spacing w:line="360" w:lineRule="auto"/>
        <w:ind w:firstLine="240" w:firstLineChars="100"/>
        <w:rPr>
          <w:rFonts w:ascii="宋体" w:hAnsi="宋体" w:cs="宋体"/>
          <w:sz w:val="24"/>
        </w:rPr>
      </w:pPr>
      <w:r>
        <w:rPr>
          <w:rFonts w:hint="eastAsia" w:ascii="宋体" w:hAnsi="宋体" w:cs="宋体"/>
          <w:sz w:val="24"/>
        </w:rPr>
        <w:t>13.2  本采购项目有章印和签字要求的必须为原件彩色扫描件。</w:t>
      </w:r>
    </w:p>
    <w:p>
      <w:pPr>
        <w:spacing w:line="360" w:lineRule="auto"/>
        <w:ind w:firstLine="240" w:firstLineChars="100"/>
        <w:rPr>
          <w:rFonts w:ascii="宋体" w:hAnsi="宋体" w:cs="宋体"/>
          <w:sz w:val="24"/>
        </w:rPr>
      </w:pPr>
      <w:r>
        <w:rPr>
          <w:rFonts w:hint="eastAsia" w:ascii="宋体" w:hAnsi="宋体" w:cs="宋体"/>
          <w:sz w:val="24"/>
        </w:rPr>
        <w:t>13.3  中标单位在领取中标通知书时，须打印纸质投标文件正本1份、副本4份送至招标代理机构。提供的投标文件须与中标供应商提交的投标文件PDF文档一致。</w:t>
      </w:r>
    </w:p>
    <w:p>
      <w:pPr>
        <w:spacing w:line="360" w:lineRule="auto"/>
        <w:ind w:firstLine="240" w:firstLineChars="100"/>
        <w:rPr>
          <w:rFonts w:ascii="宋体" w:hAnsi="宋体" w:cs="宋体"/>
          <w:sz w:val="24"/>
        </w:rPr>
      </w:pPr>
      <w:r>
        <w:rPr>
          <w:rFonts w:hint="eastAsia" w:ascii="宋体" w:hAnsi="宋体" w:cs="宋体"/>
          <w:sz w:val="24"/>
        </w:rPr>
        <w:t>13.4  任何行间插字、涂改和增删，必须由投标文件签字人签字或盖章后才有效。</w:t>
      </w:r>
    </w:p>
    <w:p>
      <w:pPr>
        <w:spacing w:line="360" w:lineRule="auto"/>
        <w:ind w:firstLine="240" w:firstLineChars="100"/>
        <w:rPr>
          <w:rFonts w:ascii="宋体" w:hAnsi="宋体" w:cs="宋体"/>
          <w:sz w:val="24"/>
        </w:rPr>
      </w:pPr>
      <w:r>
        <w:rPr>
          <w:rFonts w:hint="eastAsia" w:ascii="宋体" w:hAnsi="宋体" w:cs="宋体"/>
          <w:sz w:val="24"/>
        </w:rPr>
        <w:t>13.5  投标文件因字迹潦草或表达不清所引起的后果由投标人负责。</w:t>
      </w:r>
    </w:p>
    <w:p>
      <w:pPr>
        <w:spacing w:line="360" w:lineRule="auto"/>
        <w:ind w:firstLine="301"/>
        <w:jc w:val="center"/>
        <w:outlineLvl w:val="1"/>
        <w:rPr>
          <w:rFonts w:ascii="宋体" w:hAnsi="宋体" w:cs="宋体"/>
          <w:b/>
          <w:bCs/>
          <w:sz w:val="30"/>
          <w:szCs w:val="30"/>
        </w:rPr>
      </w:pPr>
      <w:bookmarkStart w:id="43" w:name="_Toc13886"/>
      <w:bookmarkStart w:id="44" w:name="_Toc2308"/>
      <w:r>
        <w:rPr>
          <w:rFonts w:hint="eastAsia" w:ascii="宋体" w:hAnsi="宋体" w:cs="宋体"/>
          <w:b/>
          <w:bCs/>
          <w:sz w:val="30"/>
          <w:szCs w:val="30"/>
        </w:rPr>
        <w:t>四、投标文件的递交</w:t>
      </w:r>
      <w:bookmarkEnd w:id="43"/>
      <w:bookmarkEnd w:id="44"/>
    </w:p>
    <w:p>
      <w:pPr>
        <w:spacing w:line="360" w:lineRule="auto"/>
        <w:jc w:val="left"/>
        <w:rPr>
          <w:rFonts w:ascii="宋体" w:hAnsi="宋体" w:cs="宋体"/>
          <w:b/>
          <w:bCs/>
          <w:sz w:val="24"/>
        </w:rPr>
      </w:pPr>
      <w:bookmarkStart w:id="45" w:name="_Toc25091"/>
      <w:bookmarkStart w:id="46" w:name="_Toc23922"/>
      <w:r>
        <w:rPr>
          <w:rFonts w:hint="eastAsia" w:ascii="宋体" w:hAnsi="宋体" w:cs="宋体"/>
          <w:b/>
          <w:bCs/>
          <w:sz w:val="24"/>
        </w:rPr>
        <w:t>14.投标文件的递交</w:t>
      </w:r>
      <w:bookmarkEnd w:id="45"/>
      <w:bookmarkEnd w:id="46"/>
    </w:p>
    <w:p>
      <w:pPr>
        <w:spacing w:line="360" w:lineRule="auto"/>
        <w:ind w:firstLine="240" w:firstLineChars="100"/>
        <w:outlineLvl w:val="2"/>
        <w:rPr>
          <w:rFonts w:ascii="宋体" w:hAnsi="宋体" w:cs="宋体"/>
          <w:sz w:val="24"/>
        </w:rPr>
      </w:pPr>
      <w:bookmarkStart w:id="47" w:name="_Toc24679"/>
      <w:bookmarkStart w:id="48" w:name="_Toc7613"/>
      <w:bookmarkStart w:id="49" w:name="_Toc32494"/>
      <w:r>
        <w:rPr>
          <w:rFonts w:hint="eastAsia" w:ascii="宋体" w:hAnsi="宋体" w:cs="宋体"/>
          <w:sz w:val="24"/>
        </w:rPr>
        <w:t>14.1  各投标人必须在投标截止时间前发送加密的投标文件至采购人指定的邮箱</w:t>
      </w:r>
      <w:r>
        <w:rPr>
          <w:rFonts w:hint="eastAsia" w:ascii="宋体" w:hAnsi="宋体" w:cs="宋体"/>
          <w:sz w:val="24"/>
          <w:highlight w:val="none"/>
        </w:rPr>
        <w:t>（</w:t>
      </w:r>
      <w:r>
        <w:rPr>
          <w:rFonts w:hint="eastAsia" w:ascii="宋体" w:hAnsi="宋体" w:cs="宋体"/>
          <w:b/>
          <w:bCs/>
          <w:sz w:val="24"/>
          <w:highlight w:val="none"/>
        </w:rPr>
        <w:t>1123394051@qq.com</w:t>
      </w:r>
      <w:r>
        <w:rPr>
          <w:rFonts w:hint="eastAsia" w:ascii="宋体" w:hAnsi="宋体" w:cs="宋体"/>
          <w:sz w:val="24"/>
          <w:highlight w:val="none"/>
        </w:rPr>
        <w:t>）</w:t>
      </w:r>
      <w:r>
        <w:rPr>
          <w:rFonts w:hint="eastAsia" w:ascii="宋体" w:hAnsi="宋体" w:cs="宋体"/>
          <w:sz w:val="24"/>
        </w:rPr>
        <w:t>。</w:t>
      </w:r>
      <w:bookmarkEnd w:id="47"/>
      <w:bookmarkEnd w:id="48"/>
      <w:bookmarkEnd w:id="49"/>
    </w:p>
    <w:p>
      <w:pPr>
        <w:spacing w:line="360" w:lineRule="auto"/>
        <w:ind w:firstLine="240" w:firstLineChars="100"/>
        <w:rPr>
          <w:rFonts w:ascii="宋体" w:hAnsi="宋体" w:cs="宋体"/>
          <w:sz w:val="24"/>
        </w:rPr>
      </w:pPr>
      <w:r>
        <w:rPr>
          <w:rFonts w:hint="eastAsia" w:ascii="宋体" w:hAnsi="宋体" w:cs="宋体"/>
          <w:sz w:val="24"/>
        </w:rPr>
        <w:t>14.2  各投标人需在开标前提前下载“腾讯会议”直播APP，参见开标会议，会议号：</w:t>
      </w:r>
      <w:r>
        <w:rPr>
          <w:rFonts w:hint="eastAsia" w:ascii="宋体" w:hAnsi="宋体" w:cs="宋体"/>
          <w:b/>
          <w:bCs/>
          <w:sz w:val="24"/>
          <w:highlight w:val="cyan"/>
          <w:u w:val="single"/>
          <w:lang w:val="en-US" w:eastAsia="zh-CN"/>
        </w:rPr>
        <w:t>437-457-926</w:t>
      </w:r>
      <w:r>
        <w:rPr>
          <w:rFonts w:hint="eastAsia" w:ascii="宋体" w:hAnsi="宋体" w:cs="宋体"/>
          <w:sz w:val="24"/>
        </w:rPr>
        <w:t>，直接观看直播和在线交流。各投标人自行准备相关硬件设备，确保网络畅通，音响保持正常使用状态。不得因未能观看到视频直播对开标会议提出质疑。</w:t>
      </w:r>
    </w:p>
    <w:p>
      <w:pPr>
        <w:spacing w:line="360" w:lineRule="auto"/>
        <w:ind w:firstLine="240" w:firstLineChars="100"/>
        <w:rPr>
          <w:rFonts w:ascii="宋体" w:hAnsi="宋体" w:cs="宋体"/>
          <w:sz w:val="24"/>
        </w:rPr>
      </w:pPr>
      <w:r>
        <w:rPr>
          <w:rFonts w:hint="eastAsia" w:ascii="宋体" w:hAnsi="宋体" w:cs="宋体"/>
          <w:sz w:val="24"/>
        </w:rPr>
        <w:t>14.3  投标人必须在投标文件</w:t>
      </w:r>
      <w:r>
        <w:rPr>
          <w:rFonts w:hint="eastAsia" w:ascii="宋体" w:hAnsi="宋体" w:cs="宋体"/>
          <w:b/>
          <w:bCs/>
          <w:sz w:val="24"/>
        </w:rPr>
        <w:t>提交截止时间后15分钟内</w:t>
      </w:r>
      <w:r>
        <w:rPr>
          <w:rFonts w:hint="eastAsia" w:ascii="宋体" w:hAnsi="宋体" w:cs="宋体"/>
          <w:sz w:val="24"/>
        </w:rPr>
        <w:t>，将投标文件的解密密码发送至采购人指定的邮箱，邮箱主题标明“单位名称+解密密码”字样，逾期未发送或因自身原因未能发送的，其投标无效。</w:t>
      </w:r>
    </w:p>
    <w:p>
      <w:pPr>
        <w:spacing w:line="360" w:lineRule="auto"/>
        <w:ind w:firstLine="240" w:firstLineChars="100"/>
        <w:rPr>
          <w:rFonts w:ascii="宋体" w:hAnsi="宋体" w:cs="宋体"/>
          <w:sz w:val="24"/>
        </w:rPr>
      </w:pPr>
      <w:r>
        <w:rPr>
          <w:rFonts w:hint="eastAsia" w:ascii="宋体" w:hAnsi="宋体" w:cs="宋体"/>
          <w:sz w:val="24"/>
        </w:rPr>
        <w:t>14.4  投标文件有下列情形之一的，将被拒绝接收：</w:t>
      </w:r>
    </w:p>
    <w:p>
      <w:pPr>
        <w:spacing w:line="360" w:lineRule="auto"/>
        <w:ind w:firstLine="241" w:firstLineChars="100"/>
        <w:rPr>
          <w:rFonts w:ascii="宋体" w:hAnsi="宋体" w:cs="宋体"/>
          <w:b/>
          <w:bCs/>
          <w:sz w:val="24"/>
        </w:rPr>
      </w:pPr>
      <w:r>
        <w:rPr>
          <w:rFonts w:hint="eastAsia" w:ascii="宋体" w:hAnsi="宋体" w:cs="宋体"/>
          <w:b/>
          <w:bCs/>
          <w:sz w:val="24"/>
        </w:rPr>
        <w:t>（1）投标人递交的投标文件和解密密码由不同邮箱发送的；</w:t>
      </w:r>
    </w:p>
    <w:p>
      <w:pPr>
        <w:spacing w:line="360" w:lineRule="auto"/>
        <w:ind w:firstLine="241" w:firstLineChars="100"/>
        <w:rPr>
          <w:rFonts w:ascii="宋体" w:hAnsi="宋体" w:cs="宋体"/>
          <w:b/>
          <w:bCs/>
          <w:sz w:val="24"/>
        </w:rPr>
      </w:pPr>
      <w:r>
        <w:rPr>
          <w:rFonts w:hint="eastAsia" w:ascii="宋体" w:hAnsi="宋体" w:cs="宋体"/>
          <w:b/>
          <w:bCs/>
          <w:sz w:val="24"/>
        </w:rPr>
        <w:t>（2）投标人递交的投标文件逾期到达或未发送至指定邮箱的；</w:t>
      </w:r>
    </w:p>
    <w:p>
      <w:pPr>
        <w:spacing w:line="360" w:lineRule="auto"/>
        <w:ind w:firstLine="241" w:firstLineChars="100"/>
        <w:rPr>
          <w:rFonts w:ascii="宋体" w:hAnsi="宋体" w:cs="宋体"/>
          <w:b/>
          <w:bCs/>
          <w:sz w:val="24"/>
        </w:rPr>
      </w:pPr>
      <w:r>
        <w:rPr>
          <w:rFonts w:hint="eastAsia" w:ascii="宋体" w:hAnsi="宋体" w:cs="宋体"/>
          <w:b/>
          <w:bCs/>
          <w:sz w:val="24"/>
        </w:rPr>
        <w:t>（3）投标人的解密密码在投标文件提交截止时间前发送的或在规定发送密码的截止时间后发送的。</w:t>
      </w:r>
    </w:p>
    <w:p>
      <w:pPr>
        <w:pStyle w:val="49"/>
        <w:spacing w:line="360" w:lineRule="auto"/>
        <w:ind w:firstLine="241" w:firstLineChars="100"/>
        <w:rPr>
          <w:rFonts w:eastAsia="宋体"/>
          <w:b/>
          <w:bCs/>
          <w:color w:val="auto"/>
        </w:rPr>
      </w:pPr>
      <w:r>
        <w:rPr>
          <w:rFonts w:hint="eastAsia" w:eastAsia="宋体"/>
          <w:b/>
          <w:bCs/>
          <w:color w:val="auto"/>
          <w:kern w:val="2"/>
        </w:rPr>
        <w:t>（4）解压后的文件无法正常打开。</w:t>
      </w:r>
    </w:p>
    <w:p>
      <w:pPr>
        <w:spacing w:line="360" w:lineRule="auto"/>
        <w:ind w:firstLine="240" w:firstLineChars="100"/>
        <w:rPr>
          <w:rFonts w:ascii="宋体" w:hAnsi="宋体" w:cs="宋体"/>
        </w:rPr>
      </w:pPr>
      <w:r>
        <w:rPr>
          <w:rFonts w:hint="eastAsia" w:ascii="宋体" w:hAnsi="宋体" w:cs="宋体"/>
          <w:sz w:val="24"/>
        </w:rPr>
        <w:t>14.5  各投标人法定代表人（负责人）或授权代表须持身份证原件出席视频直播会议，并保证在开标过程中随时出示，由采购人代表核验。</w:t>
      </w:r>
    </w:p>
    <w:p>
      <w:pPr>
        <w:spacing w:line="360" w:lineRule="auto"/>
        <w:outlineLvl w:val="2"/>
        <w:rPr>
          <w:rFonts w:ascii="宋体" w:hAnsi="宋体" w:cs="宋体"/>
          <w:b/>
          <w:bCs/>
          <w:sz w:val="24"/>
        </w:rPr>
      </w:pPr>
      <w:bookmarkStart w:id="50" w:name="_Toc23649"/>
      <w:r>
        <w:rPr>
          <w:rFonts w:hint="eastAsia" w:ascii="宋体" w:hAnsi="宋体" w:cs="宋体"/>
          <w:b/>
          <w:bCs/>
          <w:sz w:val="24"/>
        </w:rPr>
        <w:t>15.投标截止时间、地点</w:t>
      </w:r>
      <w:bookmarkEnd w:id="50"/>
    </w:p>
    <w:p>
      <w:pPr>
        <w:adjustRightInd w:val="0"/>
        <w:snapToGrid w:val="0"/>
        <w:spacing w:line="360" w:lineRule="auto"/>
        <w:ind w:firstLine="240" w:firstLineChars="100"/>
        <w:rPr>
          <w:rFonts w:ascii="宋体" w:hAnsi="宋体" w:cs="宋体"/>
          <w:sz w:val="24"/>
        </w:rPr>
      </w:pPr>
      <w:r>
        <w:rPr>
          <w:rFonts w:hint="eastAsia" w:ascii="宋体" w:hAnsi="宋体" w:cs="宋体"/>
          <w:sz w:val="24"/>
        </w:rPr>
        <w:t>15.1  投标截止时间：</w:t>
      </w:r>
      <w:r>
        <w:rPr>
          <w:rFonts w:hint="eastAsia" w:ascii="宋体" w:hAnsi="宋体" w:cs="宋体"/>
          <w:b/>
          <w:bCs/>
          <w:sz w:val="24"/>
        </w:rPr>
        <w:t>202</w:t>
      </w:r>
      <w:r>
        <w:rPr>
          <w:rFonts w:hint="eastAsia" w:ascii="宋体" w:hAnsi="宋体" w:cs="宋体"/>
          <w:b/>
          <w:bCs/>
          <w:sz w:val="24"/>
          <w:lang w:val="en-US" w:eastAsia="zh-CN"/>
        </w:rPr>
        <w:t>6</w:t>
      </w:r>
      <w:r>
        <w:rPr>
          <w:rFonts w:hint="eastAsia" w:ascii="宋体" w:hAnsi="宋体" w:cs="宋体"/>
          <w:b/>
          <w:bCs/>
          <w:sz w:val="24"/>
        </w:rPr>
        <w:t>年</w:t>
      </w:r>
      <w:r>
        <w:rPr>
          <w:rFonts w:hint="eastAsia" w:ascii="宋体" w:hAnsi="宋体" w:cs="宋体"/>
          <w:b/>
          <w:bCs/>
          <w:sz w:val="24"/>
          <w:lang w:val="en-US" w:eastAsia="zh-CN"/>
        </w:rPr>
        <w:t>6</w:t>
      </w:r>
      <w:r>
        <w:rPr>
          <w:rFonts w:hint="eastAsia" w:ascii="宋体" w:hAnsi="宋体" w:cs="宋体"/>
          <w:b/>
          <w:bCs/>
          <w:sz w:val="24"/>
        </w:rPr>
        <w:t>月</w:t>
      </w:r>
      <w:r>
        <w:rPr>
          <w:rFonts w:hint="eastAsia" w:ascii="宋体" w:hAnsi="宋体" w:cs="宋体"/>
          <w:b/>
          <w:bCs/>
          <w:sz w:val="24"/>
          <w:lang w:val="en-US" w:eastAsia="zh-CN"/>
        </w:rPr>
        <w:t>29</w:t>
      </w:r>
      <w:r>
        <w:rPr>
          <w:rFonts w:hint="eastAsia" w:ascii="宋体" w:hAnsi="宋体" w:cs="宋体"/>
          <w:b/>
          <w:bCs/>
          <w:sz w:val="24"/>
        </w:rPr>
        <w:t>日</w:t>
      </w:r>
      <w:r>
        <w:rPr>
          <w:rFonts w:hint="eastAsia" w:ascii="宋体" w:hAnsi="宋体" w:cs="宋体"/>
          <w:b/>
          <w:bCs/>
          <w:sz w:val="24"/>
          <w:lang w:val="en-US" w:eastAsia="zh-CN"/>
        </w:rPr>
        <w:t>15</w:t>
      </w:r>
      <w:r>
        <w:rPr>
          <w:rFonts w:hint="eastAsia" w:ascii="宋体" w:hAnsi="宋体" w:cs="宋体"/>
          <w:b/>
          <w:bCs/>
          <w:sz w:val="24"/>
        </w:rPr>
        <w:t>点</w:t>
      </w:r>
      <w:r>
        <w:rPr>
          <w:rFonts w:hint="eastAsia" w:ascii="宋体" w:hAnsi="宋体" w:cs="宋体"/>
          <w:b/>
          <w:bCs/>
          <w:sz w:val="24"/>
          <w:lang w:val="en-US" w:eastAsia="zh-CN"/>
        </w:rPr>
        <w:t>00</w:t>
      </w:r>
      <w:r>
        <w:rPr>
          <w:rFonts w:hint="eastAsia" w:ascii="宋体" w:hAnsi="宋体" w:cs="宋体"/>
          <w:b/>
          <w:bCs/>
          <w:sz w:val="24"/>
        </w:rPr>
        <w:t>分（北京时间）</w:t>
      </w:r>
      <w:r>
        <w:rPr>
          <w:rFonts w:hint="eastAsia" w:ascii="宋体" w:hAnsi="宋体" w:cs="宋体"/>
          <w:sz w:val="24"/>
        </w:rPr>
        <w:t>。</w:t>
      </w:r>
    </w:p>
    <w:p>
      <w:pPr>
        <w:pStyle w:val="23"/>
        <w:adjustRightInd w:val="0"/>
        <w:snapToGrid w:val="0"/>
        <w:spacing w:before="0" w:beforeAutospacing="0" w:after="0" w:afterAutospacing="0" w:line="360" w:lineRule="auto"/>
        <w:ind w:firstLine="240" w:firstLineChars="100"/>
        <w:jc w:val="both"/>
        <w:rPr>
          <w:rFonts w:hint="eastAsia" w:eastAsia="宋体"/>
          <w:lang w:eastAsia="zh-CN"/>
        </w:rPr>
      </w:pPr>
      <w:r>
        <w:rPr>
          <w:rFonts w:hint="eastAsia"/>
        </w:rPr>
        <w:t xml:space="preserve">15.2  </w:t>
      </w:r>
      <w:r>
        <w:rPr>
          <w:rFonts w:hint="eastAsia"/>
          <w:kern w:val="2"/>
        </w:rPr>
        <w:t>投标递交地点：上传加密的投标文件至采购人指定邮箱：</w:t>
      </w:r>
      <w:r>
        <w:rPr>
          <w:b/>
          <w:bCs/>
        </w:rPr>
        <w:fldChar w:fldCharType="begin"/>
      </w:r>
      <w:r>
        <w:rPr>
          <w:b/>
          <w:bCs/>
        </w:rPr>
        <w:instrText xml:space="preserve"> HYPERLINK "mailto:1123394051@qq.com" </w:instrText>
      </w:r>
      <w:r>
        <w:rPr>
          <w:b/>
          <w:bCs/>
        </w:rPr>
        <w:fldChar w:fldCharType="separate"/>
      </w:r>
      <w:r>
        <w:rPr>
          <w:b/>
          <w:bCs/>
          <w:kern w:val="2"/>
          <w:u w:val="single"/>
        </w:rPr>
        <w:t>1123394051@qq.com</w:t>
      </w:r>
      <w:r>
        <w:rPr>
          <w:b/>
          <w:bCs/>
          <w:kern w:val="2"/>
          <w:u w:val="single"/>
        </w:rPr>
        <w:fldChar w:fldCharType="end"/>
      </w:r>
      <w:r>
        <w:rPr>
          <w:rFonts w:hint="eastAsia"/>
          <w:b/>
          <w:bCs/>
          <w:kern w:val="2"/>
          <w:u w:val="single"/>
          <w:lang w:eastAsia="zh-CN"/>
        </w:rPr>
        <w:t>。</w:t>
      </w:r>
    </w:p>
    <w:p>
      <w:pPr>
        <w:pStyle w:val="23"/>
        <w:adjustRightInd w:val="0"/>
        <w:snapToGrid w:val="0"/>
        <w:spacing w:before="0" w:beforeAutospacing="0" w:after="0" w:afterAutospacing="0" w:line="360" w:lineRule="auto"/>
        <w:ind w:firstLine="240" w:firstLineChars="100"/>
        <w:jc w:val="both"/>
      </w:pPr>
      <w:r>
        <w:rPr>
          <w:rFonts w:hint="eastAsia"/>
          <w:kern w:val="2"/>
        </w:rPr>
        <w:t>15.3  购人或采购代理机构有权延长投标截止期。在此情况下，采购人和投标人受投标截止期制约的所有权利和义务均应延长至新的截止期。</w:t>
      </w:r>
    </w:p>
    <w:p>
      <w:pPr>
        <w:spacing w:line="360" w:lineRule="auto"/>
        <w:outlineLvl w:val="2"/>
        <w:rPr>
          <w:rFonts w:ascii="宋体" w:hAnsi="宋体" w:cs="宋体"/>
          <w:b/>
          <w:bCs/>
          <w:sz w:val="24"/>
        </w:rPr>
      </w:pPr>
      <w:bookmarkStart w:id="51" w:name="_Toc10432"/>
      <w:r>
        <w:rPr>
          <w:rFonts w:hint="eastAsia" w:ascii="宋体" w:hAnsi="宋体" w:cs="宋体"/>
          <w:b/>
          <w:bCs/>
          <w:sz w:val="24"/>
        </w:rPr>
        <w:t>16.投标文件的补充、修改、撤回、撤销</w:t>
      </w:r>
      <w:bookmarkEnd w:id="51"/>
    </w:p>
    <w:p>
      <w:pPr>
        <w:spacing w:line="360" w:lineRule="auto"/>
        <w:ind w:firstLine="240" w:firstLineChars="100"/>
        <w:rPr>
          <w:rFonts w:ascii="宋体" w:hAnsi="宋体" w:cs="宋体"/>
          <w:sz w:val="24"/>
        </w:rPr>
      </w:pPr>
      <w:r>
        <w:rPr>
          <w:rFonts w:hint="eastAsia" w:ascii="宋体" w:hAnsi="宋体" w:cs="宋体"/>
          <w:sz w:val="24"/>
        </w:rPr>
        <w:t>16.1  投标人在投标截止时间前，可以对所递交的投标文件进行补充、修改或者撤回，并书面通知采购人或者采购代理机构。补充、修改的内容应当按照招标文件要求签署、盖章、密封后，作为投标文件的组成部分。</w:t>
      </w:r>
    </w:p>
    <w:p>
      <w:pPr>
        <w:spacing w:line="360" w:lineRule="auto"/>
        <w:ind w:firstLine="240" w:firstLineChars="100"/>
        <w:rPr>
          <w:rFonts w:ascii="宋体" w:hAnsi="宋体" w:cs="宋体"/>
          <w:sz w:val="24"/>
        </w:rPr>
      </w:pPr>
      <w:r>
        <w:rPr>
          <w:rFonts w:hint="eastAsia" w:ascii="宋体" w:hAnsi="宋体" w:cs="宋体"/>
          <w:sz w:val="24"/>
        </w:rPr>
        <w:t>16.2  在投标截止期之后，投标人不得对其投标文件做任何修改。</w:t>
      </w:r>
    </w:p>
    <w:p>
      <w:pPr>
        <w:spacing w:line="360" w:lineRule="auto"/>
        <w:ind w:firstLine="240" w:firstLineChars="100"/>
        <w:rPr>
          <w:rFonts w:ascii="宋体" w:hAnsi="宋体" w:cs="宋体"/>
          <w:sz w:val="24"/>
        </w:rPr>
      </w:pPr>
      <w:r>
        <w:rPr>
          <w:rFonts w:hint="eastAsia" w:ascii="宋体" w:hAnsi="宋体" w:cs="宋体"/>
          <w:sz w:val="24"/>
        </w:rPr>
        <w:t>16.3  投标有效期内，投标人如撤销其投标，将按招标文件规定予以处理。</w:t>
      </w:r>
    </w:p>
    <w:p>
      <w:pPr>
        <w:spacing w:line="360" w:lineRule="auto"/>
        <w:ind w:firstLine="301"/>
        <w:jc w:val="center"/>
        <w:outlineLvl w:val="1"/>
        <w:rPr>
          <w:rFonts w:ascii="宋体" w:hAnsi="宋体" w:cs="宋体"/>
          <w:b/>
          <w:bCs/>
          <w:sz w:val="30"/>
          <w:szCs w:val="30"/>
        </w:rPr>
      </w:pPr>
      <w:bookmarkStart w:id="52" w:name="_Toc22058"/>
      <w:bookmarkStart w:id="53" w:name="_Toc10259"/>
      <w:r>
        <w:rPr>
          <w:rFonts w:hint="eastAsia" w:ascii="宋体" w:hAnsi="宋体" w:cs="宋体"/>
          <w:b/>
          <w:bCs/>
          <w:sz w:val="30"/>
          <w:szCs w:val="30"/>
        </w:rPr>
        <w:t>五、开标</w:t>
      </w:r>
      <w:bookmarkEnd w:id="52"/>
      <w:bookmarkEnd w:id="53"/>
    </w:p>
    <w:p>
      <w:pPr>
        <w:spacing w:line="360" w:lineRule="auto"/>
        <w:outlineLvl w:val="2"/>
        <w:rPr>
          <w:rFonts w:ascii="宋体" w:hAnsi="宋体" w:cs="宋体"/>
          <w:b/>
          <w:bCs/>
          <w:sz w:val="24"/>
        </w:rPr>
      </w:pPr>
      <w:bookmarkStart w:id="54" w:name="_Toc20788"/>
      <w:bookmarkStart w:id="55" w:name="_Toc5193"/>
      <w:r>
        <w:rPr>
          <w:rFonts w:hint="eastAsia" w:ascii="宋体" w:hAnsi="宋体" w:cs="宋体"/>
          <w:b/>
          <w:bCs/>
          <w:sz w:val="24"/>
        </w:rPr>
        <w:t>17.</w:t>
      </w:r>
      <w:r>
        <w:rPr>
          <w:rFonts w:hint="eastAsia" w:ascii="宋体" w:hAnsi="宋体" w:cs="宋体"/>
          <w:b/>
          <w:sz w:val="24"/>
        </w:rPr>
        <w:t>开标时间、地点</w:t>
      </w:r>
      <w:bookmarkEnd w:id="54"/>
      <w:bookmarkEnd w:id="55"/>
    </w:p>
    <w:p>
      <w:pPr>
        <w:spacing w:line="360" w:lineRule="auto"/>
        <w:ind w:firstLine="240" w:firstLineChars="100"/>
        <w:jc w:val="left"/>
        <w:rPr>
          <w:rFonts w:ascii="宋体" w:hAnsi="宋体" w:cs="宋体"/>
          <w:sz w:val="24"/>
        </w:rPr>
      </w:pPr>
      <w:r>
        <w:rPr>
          <w:rFonts w:hint="eastAsia" w:ascii="宋体" w:hAnsi="宋体" w:cs="宋体"/>
          <w:sz w:val="24"/>
        </w:rPr>
        <w:t>17.1  开标时间：同投标文件递交截止时间。</w:t>
      </w:r>
    </w:p>
    <w:p>
      <w:pPr>
        <w:spacing w:line="360" w:lineRule="auto"/>
        <w:ind w:firstLine="240" w:firstLineChars="100"/>
        <w:jc w:val="left"/>
        <w:rPr>
          <w:rFonts w:ascii="宋体" w:hAnsi="宋体" w:cs="宋体"/>
          <w:sz w:val="24"/>
        </w:rPr>
      </w:pPr>
      <w:r>
        <w:rPr>
          <w:rFonts w:hint="eastAsia" w:ascii="宋体" w:hAnsi="宋体" w:cs="宋体"/>
          <w:sz w:val="24"/>
        </w:rPr>
        <w:t>17.2  开标地点：网上开标，腾讯会议号：</w:t>
      </w:r>
      <w:r>
        <w:rPr>
          <w:rFonts w:hint="eastAsia" w:ascii="宋体" w:hAnsi="宋体" w:cs="宋体"/>
          <w:b/>
          <w:bCs/>
          <w:sz w:val="24"/>
          <w:highlight w:val="cyan"/>
          <w:u w:val="single"/>
          <w:lang w:val="en-US" w:eastAsia="zh-CN"/>
        </w:rPr>
        <w:t>437-457-926</w:t>
      </w:r>
      <w:r>
        <w:rPr>
          <w:rFonts w:hint="eastAsia" w:ascii="宋体" w:hAnsi="宋体" w:cs="宋体"/>
          <w:sz w:val="24"/>
        </w:rPr>
        <w:t>。</w:t>
      </w:r>
    </w:p>
    <w:p>
      <w:pPr>
        <w:spacing w:line="360" w:lineRule="auto"/>
        <w:ind w:firstLine="240" w:firstLineChars="100"/>
        <w:jc w:val="left"/>
        <w:rPr>
          <w:rFonts w:ascii="宋体" w:hAnsi="宋体" w:cs="宋体"/>
          <w:sz w:val="24"/>
        </w:rPr>
      </w:pPr>
      <w:r>
        <w:rPr>
          <w:rFonts w:hint="eastAsia" w:ascii="宋体" w:hAnsi="宋体" w:cs="宋体"/>
          <w:sz w:val="24"/>
        </w:rPr>
        <w:t>17.3  开标时邀请所有投标人代表、采购人和有关方面代表参加。</w:t>
      </w:r>
    </w:p>
    <w:p>
      <w:pPr>
        <w:spacing w:line="360" w:lineRule="auto"/>
        <w:ind w:firstLine="240" w:firstLineChars="100"/>
        <w:jc w:val="left"/>
        <w:rPr>
          <w:rFonts w:ascii="宋体" w:hAnsi="宋体" w:cs="宋体"/>
          <w:sz w:val="24"/>
        </w:rPr>
      </w:pPr>
      <w:r>
        <w:rPr>
          <w:rFonts w:hint="eastAsia" w:ascii="宋体" w:hAnsi="宋体" w:cs="宋体"/>
          <w:sz w:val="24"/>
        </w:rPr>
        <w:t>17.4  工作人员进入指定邮箱下载各投标人的投标文件，宣读投标人名称、投标价格等主要内容。如同一投标人在投标截止时间之前发送了两份或多份投标文件，则以最后发送的投标文件为准。对于投标人在投标截止期前递交的投标声明，在开标时当众宣读，评标时有效。</w:t>
      </w:r>
    </w:p>
    <w:p>
      <w:pPr>
        <w:spacing w:line="360" w:lineRule="auto"/>
        <w:ind w:firstLine="240" w:firstLineChars="100"/>
        <w:jc w:val="left"/>
        <w:rPr>
          <w:rFonts w:ascii="宋体" w:hAnsi="宋体" w:cs="宋体"/>
          <w:sz w:val="24"/>
        </w:rPr>
      </w:pPr>
      <w:r>
        <w:rPr>
          <w:rFonts w:hint="eastAsia" w:ascii="宋体" w:hAnsi="宋体" w:cs="宋体"/>
          <w:sz w:val="24"/>
        </w:rPr>
        <w:t>未宣读的投标价格、价格折扣等实质内容，评标时不予承认。</w:t>
      </w:r>
    </w:p>
    <w:p>
      <w:pPr>
        <w:spacing w:line="360" w:lineRule="auto"/>
        <w:ind w:firstLine="240" w:firstLineChars="100"/>
        <w:jc w:val="left"/>
        <w:rPr>
          <w:rFonts w:ascii="宋体" w:hAnsi="宋体" w:cs="宋体"/>
          <w:sz w:val="24"/>
        </w:rPr>
      </w:pPr>
      <w:r>
        <w:rPr>
          <w:rFonts w:hint="eastAsia" w:ascii="宋体" w:hAnsi="宋体" w:cs="宋体"/>
          <w:sz w:val="24"/>
        </w:rPr>
        <w:t>17.5  采购代理机构将对唱标内容做开标记录。</w:t>
      </w:r>
    </w:p>
    <w:p>
      <w:pPr>
        <w:spacing w:line="360" w:lineRule="auto"/>
        <w:ind w:firstLine="240" w:firstLineChars="100"/>
        <w:jc w:val="left"/>
        <w:rPr>
          <w:rFonts w:ascii="宋体" w:hAnsi="宋体" w:cs="宋体"/>
          <w:sz w:val="24"/>
        </w:rPr>
      </w:pPr>
      <w:r>
        <w:rPr>
          <w:rFonts w:hint="eastAsia" w:ascii="宋体" w:hAnsi="宋体" w:cs="宋体"/>
          <w:sz w:val="24"/>
        </w:rPr>
        <w:t>17.6  投标人在报价时不允许采用选择性报价，否则将被视为无效投标。</w:t>
      </w:r>
    </w:p>
    <w:p>
      <w:pPr>
        <w:spacing w:line="360" w:lineRule="auto"/>
        <w:ind w:firstLine="240" w:firstLineChars="100"/>
        <w:jc w:val="left"/>
        <w:rPr>
          <w:rFonts w:ascii="宋体" w:hAnsi="宋体" w:cs="宋体"/>
          <w:sz w:val="24"/>
        </w:rPr>
      </w:pPr>
      <w:r>
        <w:rPr>
          <w:rFonts w:hint="eastAsia" w:ascii="宋体" w:hAnsi="宋体" w:cs="宋体"/>
          <w:sz w:val="24"/>
        </w:rPr>
        <w:t>17.7  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spacing w:line="360" w:lineRule="auto"/>
        <w:ind w:firstLine="240" w:firstLineChars="100"/>
        <w:jc w:val="left"/>
        <w:rPr>
          <w:rFonts w:ascii="宋体" w:hAnsi="宋体" w:cs="宋体"/>
          <w:sz w:val="24"/>
        </w:rPr>
      </w:pPr>
      <w:r>
        <w:rPr>
          <w:rFonts w:hint="eastAsia" w:ascii="宋体" w:hAnsi="宋体" w:cs="宋体"/>
          <w:sz w:val="24"/>
        </w:rPr>
        <w:t>17.8  投标人未参加开标的，视同认可开标结果。</w:t>
      </w:r>
    </w:p>
    <w:p>
      <w:pPr>
        <w:spacing w:line="360" w:lineRule="auto"/>
        <w:ind w:firstLine="301"/>
        <w:jc w:val="center"/>
        <w:outlineLvl w:val="1"/>
        <w:rPr>
          <w:rFonts w:ascii="宋体" w:hAnsi="宋体" w:cs="宋体"/>
          <w:b/>
          <w:bCs/>
          <w:sz w:val="30"/>
          <w:szCs w:val="30"/>
        </w:rPr>
      </w:pPr>
      <w:bookmarkStart w:id="56" w:name="_Toc19719"/>
      <w:bookmarkStart w:id="57" w:name="_Toc28467"/>
      <w:r>
        <w:rPr>
          <w:rFonts w:hint="eastAsia" w:ascii="宋体" w:hAnsi="宋体" w:cs="宋体"/>
          <w:b/>
          <w:bCs/>
          <w:sz w:val="30"/>
          <w:szCs w:val="30"/>
        </w:rPr>
        <w:t>六、资格审查</w:t>
      </w:r>
      <w:bookmarkEnd w:id="56"/>
      <w:bookmarkEnd w:id="57"/>
    </w:p>
    <w:p>
      <w:pPr>
        <w:spacing w:line="360" w:lineRule="auto"/>
        <w:jc w:val="left"/>
        <w:outlineLvl w:val="2"/>
        <w:rPr>
          <w:rFonts w:ascii="宋体" w:hAnsi="宋体" w:cs="宋体"/>
          <w:b/>
          <w:bCs/>
          <w:sz w:val="24"/>
        </w:rPr>
      </w:pPr>
      <w:bookmarkStart w:id="58" w:name="_Toc14055"/>
      <w:r>
        <w:rPr>
          <w:rFonts w:hint="eastAsia" w:ascii="宋体" w:hAnsi="宋体" w:cs="宋体"/>
          <w:b/>
          <w:bCs/>
          <w:sz w:val="24"/>
        </w:rPr>
        <w:t>18.资格审查组织</w:t>
      </w:r>
      <w:bookmarkEnd w:id="58"/>
    </w:p>
    <w:p>
      <w:pPr>
        <w:spacing w:line="360" w:lineRule="auto"/>
        <w:ind w:firstLine="240" w:firstLineChars="100"/>
        <w:jc w:val="left"/>
        <w:rPr>
          <w:rFonts w:ascii="宋体" w:hAnsi="宋体" w:cs="宋体"/>
          <w:sz w:val="24"/>
        </w:rPr>
      </w:pPr>
      <w:r>
        <w:rPr>
          <w:rFonts w:hint="eastAsia" w:ascii="宋体" w:hAnsi="宋体" w:cs="宋体"/>
          <w:sz w:val="24"/>
        </w:rPr>
        <w:t>18.1  公开招标采购项目开标结束后，采购人和采购代理机构共同对投标人的资格进行审查，合格投标人不足3家的，不得评标。</w:t>
      </w:r>
    </w:p>
    <w:p>
      <w:pPr>
        <w:spacing w:line="360" w:lineRule="auto"/>
        <w:ind w:firstLine="240" w:firstLineChars="100"/>
        <w:rPr>
          <w:rFonts w:ascii="宋体" w:hAnsi="宋体" w:cs="宋体"/>
          <w:sz w:val="24"/>
        </w:rPr>
      </w:pPr>
      <w:r>
        <w:rPr>
          <w:rFonts w:hint="eastAsia" w:ascii="宋体" w:hAnsi="宋体" w:cs="宋体"/>
          <w:sz w:val="24"/>
        </w:rPr>
        <w:t>18.2  采购人和代理机构在进行资格性审查的同时，将在全国法院失信被执行人名单信息公布与查询平台（http://zxgk.court.gov.cn/shixin/）和“信用中国”网站（www.creditchina.gov.cn）对供应商是否被列入失信被执行人、重大税收违法案件当事人名单、政府采购严重失信行为记录名单情况进行查询，列入名单的供应商不具备投标资格。查询结果将以网页打印的形式留存并归档。</w:t>
      </w:r>
    </w:p>
    <w:p>
      <w:pPr>
        <w:spacing w:line="360" w:lineRule="auto"/>
        <w:ind w:firstLine="241" w:firstLineChars="100"/>
        <w:rPr>
          <w:rFonts w:ascii="宋体" w:hAnsi="宋体" w:cs="宋体"/>
          <w:b/>
          <w:bCs/>
          <w:sz w:val="24"/>
        </w:rPr>
      </w:pPr>
      <w:r>
        <w:rPr>
          <w:rFonts w:hint="eastAsia" w:ascii="宋体" w:hAnsi="宋体" w:cs="宋体"/>
          <w:b/>
          <w:bCs/>
          <w:sz w:val="24"/>
        </w:rPr>
        <w:t>18.3  资格审查标准：依据法规政策和招标文件的规定，对投标人进行资格审查，以确定其是否具备投标资格。投标人存在以下情形之一的，资格审查不合格，其投标无效：</w:t>
      </w:r>
    </w:p>
    <w:p>
      <w:pPr>
        <w:spacing w:line="360" w:lineRule="auto"/>
        <w:ind w:firstLine="240" w:firstLineChars="100"/>
        <w:jc w:val="left"/>
        <w:rPr>
          <w:rFonts w:hint="eastAsia" w:ascii="宋体" w:hAnsi="宋体" w:cs="宋体"/>
          <w:bCs/>
          <w:kern w:val="0"/>
          <w:sz w:val="24"/>
        </w:rPr>
      </w:pPr>
      <w:r>
        <w:rPr>
          <w:rFonts w:hint="eastAsia" w:ascii="宋体" w:hAnsi="宋体" w:cs="宋体"/>
          <w:sz w:val="24"/>
        </w:rPr>
        <w:t>（</w:t>
      </w:r>
      <w:r>
        <w:rPr>
          <w:rFonts w:hint="eastAsia" w:ascii="宋体" w:hAnsi="宋体" w:cs="宋体"/>
          <w:sz w:val="24"/>
          <w:lang w:val="en-US" w:eastAsia="zh-CN"/>
        </w:rPr>
        <w:t>1</w:t>
      </w:r>
      <w:r>
        <w:rPr>
          <w:rFonts w:hint="eastAsia" w:ascii="宋体" w:hAnsi="宋体" w:cs="宋体"/>
          <w:sz w:val="24"/>
        </w:rPr>
        <w:t>）未提供营业执照原件扫描件或虽提供但已失效的</w:t>
      </w:r>
      <w:r>
        <w:rPr>
          <w:rFonts w:hint="eastAsia" w:ascii="宋体" w:hAnsi="宋体" w:cs="宋体"/>
          <w:bCs/>
          <w:kern w:val="0"/>
          <w:sz w:val="24"/>
        </w:rPr>
        <w:t>；</w:t>
      </w:r>
    </w:p>
    <w:p>
      <w:pPr>
        <w:pStyle w:val="2"/>
        <w:ind w:firstLine="240" w:firstLineChars="100"/>
        <w:rPr>
          <w:rFonts w:hint="eastAsia" w:ascii="宋体" w:hAnsi="宋体" w:eastAsia="宋体" w:cs="宋体"/>
          <w:sz w:val="24"/>
          <w:lang w:eastAsia="zh-CN"/>
        </w:rPr>
      </w:pPr>
      <w:r>
        <w:rPr>
          <w:rFonts w:hint="eastAsia" w:ascii="宋体" w:hAnsi="宋体" w:cs="宋体"/>
          <w:sz w:val="24"/>
        </w:rPr>
        <w:t>（</w:t>
      </w:r>
      <w:r>
        <w:rPr>
          <w:rFonts w:hint="eastAsia" w:ascii="宋体" w:hAnsi="宋体" w:cs="宋体"/>
          <w:sz w:val="24"/>
          <w:lang w:val="en-US" w:eastAsia="zh-CN"/>
        </w:rPr>
        <w:t>2</w:t>
      </w:r>
      <w:r>
        <w:rPr>
          <w:rFonts w:hint="eastAsia" w:ascii="宋体" w:hAnsi="宋体" w:cs="宋体"/>
          <w:sz w:val="24"/>
        </w:rPr>
        <w:t>）</w:t>
      </w:r>
      <w:r>
        <w:rPr>
          <w:rStyle w:val="50"/>
          <w:rFonts w:hint="eastAsia" w:ascii="宋体" w:hAnsi="宋体" w:cs="宋体"/>
          <w:sz w:val="24"/>
        </w:rPr>
        <w:t>上一年度的财务状况报告</w:t>
      </w:r>
      <w:r>
        <w:rPr>
          <w:rStyle w:val="50"/>
          <w:rFonts w:hint="eastAsia" w:ascii="宋体" w:hAnsi="宋体" w:cs="宋体"/>
          <w:sz w:val="24"/>
          <w:lang w:eastAsia="zh-CN"/>
        </w:rPr>
        <w:t>；</w:t>
      </w:r>
    </w:p>
    <w:p>
      <w:pPr>
        <w:pStyle w:val="2"/>
        <w:ind w:firstLine="240" w:firstLineChars="100"/>
        <w:rPr>
          <w:rStyle w:val="50"/>
          <w:rFonts w:hint="eastAsia" w:ascii="宋体" w:hAnsi="宋体" w:cs="宋体"/>
          <w:sz w:val="24"/>
          <w:lang w:eastAsia="zh-CN"/>
        </w:rPr>
      </w:pPr>
      <w:r>
        <w:rPr>
          <w:rFonts w:hint="eastAsia" w:ascii="宋体" w:hAnsi="宋体" w:cs="宋体"/>
          <w:sz w:val="24"/>
        </w:rPr>
        <w:t>（</w:t>
      </w:r>
      <w:r>
        <w:rPr>
          <w:rFonts w:hint="eastAsia" w:ascii="宋体" w:hAnsi="宋体" w:cs="宋体"/>
          <w:sz w:val="24"/>
          <w:lang w:val="en-US" w:eastAsia="zh-CN"/>
        </w:rPr>
        <w:t>3</w:t>
      </w:r>
      <w:r>
        <w:rPr>
          <w:rFonts w:hint="eastAsia" w:ascii="宋体" w:hAnsi="宋体" w:cs="宋体"/>
          <w:sz w:val="24"/>
        </w:rPr>
        <w:t>）</w:t>
      </w:r>
      <w:r>
        <w:rPr>
          <w:rStyle w:val="50"/>
          <w:rFonts w:hint="eastAsia" w:ascii="宋体" w:hAnsi="宋体" w:cs="宋体"/>
          <w:sz w:val="24"/>
        </w:rPr>
        <w:t>依法缴纳税收和社会保障资金的相关材料</w:t>
      </w:r>
      <w:r>
        <w:rPr>
          <w:rStyle w:val="50"/>
          <w:rFonts w:hint="eastAsia" w:ascii="宋体" w:hAnsi="宋体" w:cs="宋体"/>
          <w:sz w:val="24"/>
          <w:lang w:eastAsia="zh-CN"/>
        </w:rPr>
        <w:t>；</w:t>
      </w:r>
    </w:p>
    <w:p>
      <w:pPr>
        <w:pStyle w:val="2"/>
        <w:ind w:firstLine="240" w:firstLineChars="100"/>
        <w:rPr>
          <w:rStyle w:val="50"/>
          <w:rFonts w:hint="eastAsia" w:ascii="宋体" w:hAnsi="宋体" w:cs="宋体"/>
          <w:sz w:val="24"/>
          <w:lang w:eastAsia="zh-CN"/>
        </w:rPr>
      </w:pPr>
      <w:r>
        <w:rPr>
          <w:rStyle w:val="50"/>
          <w:rFonts w:hint="eastAsia" w:ascii="宋体" w:hAnsi="宋体" w:cs="宋体"/>
          <w:sz w:val="24"/>
          <w:lang w:eastAsia="zh-CN"/>
        </w:rPr>
        <w:t>（</w:t>
      </w:r>
      <w:r>
        <w:rPr>
          <w:rStyle w:val="50"/>
          <w:rFonts w:hint="eastAsia" w:ascii="宋体" w:hAnsi="宋体" w:cs="宋体"/>
          <w:sz w:val="24"/>
          <w:lang w:val="en-US" w:eastAsia="zh-CN"/>
        </w:rPr>
        <w:t>4</w:t>
      </w:r>
      <w:r>
        <w:rPr>
          <w:rStyle w:val="50"/>
          <w:rFonts w:hint="eastAsia" w:ascii="宋体" w:hAnsi="宋体" w:cs="宋体"/>
          <w:sz w:val="24"/>
          <w:lang w:eastAsia="zh-CN"/>
        </w:rPr>
        <w:t>）具备履行合同所必需的设备和专业技术能力的书面声明</w:t>
      </w:r>
    </w:p>
    <w:p>
      <w:pPr>
        <w:widowControl/>
        <w:adjustRightInd w:val="0"/>
        <w:snapToGrid w:val="0"/>
        <w:spacing w:line="360" w:lineRule="auto"/>
        <w:ind w:firstLine="240" w:firstLineChars="100"/>
        <w:jc w:val="left"/>
        <w:rPr>
          <w:rFonts w:ascii="宋体" w:hAnsi="宋体" w:cs="宋体"/>
          <w:sz w:val="24"/>
        </w:rPr>
      </w:pPr>
      <w:r>
        <w:rPr>
          <w:rFonts w:hint="eastAsia" w:ascii="宋体" w:hAnsi="宋体" w:cs="宋体"/>
          <w:sz w:val="24"/>
        </w:rPr>
        <w:t>（</w:t>
      </w:r>
      <w:r>
        <w:rPr>
          <w:rFonts w:hint="eastAsia" w:ascii="宋体" w:hAnsi="宋体" w:cs="宋体"/>
          <w:sz w:val="24"/>
          <w:lang w:val="en-US" w:eastAsia="zh-CN"/>
        </w:rPr>
        <w:t>5</w:t>
      </w:r>
      <w:r>
        <w:rPr>
          <w:rFonts w:hint="eastAsia" w:ascii="宋体" w:hAnsi="宋体" w:cs="宋体"/>
          <w:sz w:val="24"/>
        </w:rPr>
        <w:t>）</w:t>
      </w:r>
      <w:r>
        <w:rPr>
          <w:rStyle w:val="50"/>
          <w:rFonts w:hint="eastAsia" w:ascii="宋体" w:hAnsi="宋体" w:cs="宋体"/>
          <w:sz w:val="24"/>
        </w:rPr>
        <w:t>参加政府采购活动前3年内在经营活动中没有重大违法记录的书面声明</w:t>
      </w:r>
      <w:r>
        <w:rPr>
          <w:rFonts w:hint="eastAsia" w:ascii="宋体" w:hAnsi="宋体" w:cs="宋体"/>
          <w:sz w:val="24"/>
        </w:rPr>
        <w:t>；</w:t>
      </w:r>
    </w:p>
    <w:p>
      <w:pPr>
        <w:pStyle w:val="8"/>
        <w:spacing w:after="0" w:line="360" w:lineRule="auto"/>
        <w:ind w:left="0" w:leftChars="0" w:firstLine="240" w:firstLineChars="100"/>
        <w:jc w:val="left"/>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6</w:t>
      </w:r>
      <w:r>
        <w:rPr>
          <w:rFonts w:hint="eastAsia" w:ascii="宋体" w:hAnsi="宋体" w:cs="宋体"/>
          <w:sz w:val="24"/>
        </w:rPr>
        <w:t>）单位负责人为同一个人或者存在直接控股、管理关系的不同投标人，在本合同项下同时投标；</w:t>
      </w:r>
    </w:p>
    <w:p>
      <w:pPr>
        <w:pStyle w:val="8"/>
        <w:spacing w:after="0" w:line="360" w:lineRule="auto"/>
        <w:ind w:left="0" w:leftChars="0" w:firstLine="240" w:firstLineChars="100"/>
        <w:jc w:val="left"/>
        <w:rPr>
          <w:rFonts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7</w:t>
      </w:r>
      <w:r>
        <w:rPr>
          <w:rFonts w:hint="eastAsia" w:ascii="宋体" w:hAnsi="宋体" w:cs="宋体"/>
          <w:sz w:val="24"/>
          <w:lang w:eastAsia="zh-CN"/>
        </w:rPr>
        <w:t>）</w:t>
      </w:r>
      <w:r>
        <w:rPr>
          <w:rStyle w:val="50"/>
          <w:rFonts w:hint="eastAsia" w:ascii="宋体" w:hAnsi="宋体" w:cs="宋体"/>
          <w:sz w:val="24"/>
        </w:rPr>
        <w:t>在“信用中国”网站查询，未被列入失信被执行人、重大税收违法失信主体名单、严重失信主体名单及其他不符合《中华人民共和国政府采购法》第二十二条规定条件的信用记录</w:t>
      </w:r>
    </w:p>
    <w:p>
      <w:pPr>
        <w:spacing w:line="360" w:lineRule="auto"/>
        <w:ind w:firstLine="240" w:firstLineChars="100"/>
        <w:jc w:val="left"/>
        <w:rPr>
          <w:rFonts w:ascii="宋体" w:hAnsi="宋体" w:cs="宋体"/>
          <w:b/>
          <w:bCs/>
          <w:sz w:val="24"/>
        </w:rPr>
      </w:pPr>
      <w:r>
        <w:rPr>
          <w:rFonts w:hint="eastAsia" w:ascii="宋体" w:hAnsi="宋体" w:cs="宋体"/>
          <w:sz w:val="24"/>
        </w:rPr>
        <w:t>（</w:t>
      </w:r>
      <w:r>
        <w:rPr>
          <w:rFonts w:hint="eastAsia" w:ascii="宋体" w:hAnsi="宋体" w:cs="宋体"/>
          <w:sz w:val="24"/>
          <w:lang w:val="en-US" w:eastAsia="zh-CN"/>
        </w:rPr>
        <w:t>7</w:t>
      </w:r>
      <w:r>
        <w:rPr>
          <w:rFonts w:hint="eastAsia" w:ascii="宋体" w:hAnsi="宋体" w:cs="宋体"/>
          <w:sz w:val="24"/>
        </w:rPr>
        <w:t>）以联合体方式投标的。</w:t>
      </w:r>
    </w:p>
    <w:p>
      <w:pPr>
        <w:spacing w:line="360" w:lineRule="auto"/>
        <w:ind w:firstLine="301"/>
        <w:jc w:val="center"/>
        <w:outlineLvl w:val="1"/>
        <w:rPr>
          <w:rFonts w:ascii="宋体" w:hAnsi="宋体" w:cs="宋体"/>
          <w:b/>
          <w:bCs/>
          <w:sz w:val="30"/>
          <w:szCs w:val="30"/>
        </w:rPr>
      </w:pPr>
      <w:bookmarkStart w:id="59" w:name="_Toc20503"/>
      <w:bookmarkStart w:id="60" w:name="_Toc13481"/>
      <w:r>
        <w:rPr>
          <w:rFonts w:hint="eastAsia" w:ascii="宋体" w:hAnsi="宋体" w:cs="宋体"/>
          <w:b/>
          <w:bCs/>
          <w:sz w:val="30"/>
          <w:szCs w:val="30"/>
        </w:rPr>
        <w:t>七、评标</w:t>
      </w:r>
      <w:bookmarkEnd w:id="59"/>
      <w:bookmarkEnd w:id="60"/>
    </w:p>
    <w:p>
      <w:pPr>
        <w:spacing w:line="360" w:lineRule="auto"/>
        <w:outlineLvl w:val="2"/>
        <w:rPr>
          <w:rFonts w:ascii="宋体" w:hAnsi="宋体" w:cs="宋体"/>
          <w:b/>
          <w:bCs/>
          <w:sz w:val="24"/>
        </w:rPr>
      </w:pPr>
      <w:bookmarkStart w:id="61" w:name="_Toc25136"/>
      <w:r>
        <w:rPr>
          <w:rFonts w:hint="eastAsia" w:ascii="宋体" w:hAnsi="宋体" w:cs="宋体"/>
          <w:b/>
          <w:bCs/>
          <w:sz w:val="24"/>
        </w:rPr>
        <w:t>19.评标委员会</w:t>
      </w:r>
      <w:bookmarkEnd w:id="61"/>
    </w:p>
    <w:p>
      <w:pPr>
        <w:pStyle w:val="23"/>
        <w:adjustRightInd w:val="0"/>
        <w:snapToGrid w:val="0"/>
        <w:spacing w:before="0" w:beforeAutospacing="0" w:after="0" w:afterAutospacing="0" w:line="360" w:lineRule="auto"/>
        <w:ind w:firstLine="240" w:firstLineChars="100"/>
        <w:jc w:val="both"/>
      </w:pPr>
      <w:r>
        <w:rPr>
          <w:rFonts w:hint="eastAsia"/>
        </w:rPr>
        <w:t>19.1  评标委员会由采购人代表和评审专家组成，成员人数应当为5人以上单数，其中评审专家不得少于成员总数的三分之二。评审专家通过随机方式从采购评审专家库中抽取。</w:t>
      </w:r>
    </w:p>
    <w:p>
      <w:pPr>
        <w:pStyle w:val="23"/>
        <w:adjustRightInd w:val="0"/>
        <w:snapToGrid w:val="0"/>
        <w:spacing w:before="0" w:beforeAutospacing="0" w:after="0" w:afterAutospacing="0" w:line="360" w:lineRule="auto"/>
        <w:ind w:firstLine="240" w:firstLineChars="100"/>
        <w:jc w:val="both"/>
      </w:pPr>
      <w:r>
        <w:rPr>
          <w:rFonts w:hint="eastAsia"/>
        </w:rPr>
        <w:t>19.2  评审专家对本单位的采购项目只能作为采购人代表参与评标。出席开标活动的采购人代表不得参加评标委员会。采购代理机构工作人员不得参加由本机构代理的政府采购项目的评标。</w:t>
      </w:r>
    </w:p>
    <w:p>
      <w:pPr>
        <w:spacing w:line="360" w:lineRule="auto"/>
        <w:rPr>
          <w:rFonts w:ascii="宋体" w:hAnsi="宋体" w:cs="宋体"/>
          <w:sz w:val="24"/>
        </w:rPr>
      </w:pPr>
      <w:r>
        <w:rPr>
          <w:rFonts w:hint="eastAsia" w:ascii="宋体" w:hAnsi="宋体" w:cs="宋体"/>
          <w:sz w:val="24"/>
        </w:rPr>
        <w:t>19.3  评标委员会成员名单在评标结果公告前应当保密。</w:t>
      </w:r>
    </w:p>
    <w:p>
      <w:pPr>
        <w:spacing w:line="360" w:lineRule="auto"/>
        <w:outlineLvl w:val="2"/>
        <w:rPr>
          <w:rFonts w:ascii="宋体" w:hAnsi="宋体" w:cs="宋体"/>
          <w:b/>
          <w:bCs/>
          <w:sz w:val="24"/>
        </w:rPr>
      </w:pPr>
      <w:bookmarkStart w:id="62" w:name="_Toc6759"/>
      <w:r>
        <w:rPr>
          <w:rFonts w:hint="eastAsia" w:ascii="宋体" w:hAnsi="宋体" w:cs="宋体"/>
          <w:b/>
          <w:bCs/>
          <w:sz w:val="24"/>
        </w:rPr>
        <w:t>20.组织评标</w:t>
      </w:r>
      <w:bookmarkEnd w:id="62"/>
    </w:p>
    <w:p>
      <w:pPr>
        <w:pStyle w:val="23"/>
        <w:adjustRightInd w:val="0"/>
        <w:snapToGrid w:val="0"/>
        <w:spacing w:before="0" w:beforeAutospacing="0" w:after="0" w:afterAutospacing="0" w:line="360" w:lineRule="auto"/>
        <w:ind w:firstLine="240" w:firstLineChars="100"/>
        <w:jc w:val="both"/>
      </w:pPr>
      <w:r>
        <w:rPr>
          <w:rFonts w:hint="eastAsia"/>
        </w:rPr>
        <w:t>采购人或者采购代理机构负责组织评标工作，并履行下列职责：</w:t>
      </w:r>
    </w:p>
    <w:p>
      <w:pPr>
        <w:pStyle w:val="23"/>
        <w:adjustRightInd w:val="0"/>
        <w:snapToGrid w:val="0"/>
        <w:spacing w:before="0" w:beforeAutospacing="0" w:after="0" w:afterAutospacing="0" w:line="360" w:lineRule="auto"/>
        <w:ind w:firstLine="240" w:firstLineChars="100"/>
        <w:jc w:val="both"/>
      </w:pPr>
      <w:r>
        <w:rPr>
          <w:rFonts w:hint="eastAsia"/>
        </w:rPr>
        <w:t>20.1  核对评审专家身份和采购人代表授权函，对评审专家在政府采购活动中的职责履行情况予以记录，并及时将有关违法违规行为向政府采购监督部门报告；</w:t>
      </w:r>
    </w:p>
    <w:p>
      <w:pPr>
        <w:pStyle w:val="23"/>
        <w:adjustRightInd w:val="0"/>
        <w:snapToGrid w:val="0"/>
        <w:spacing w:before="0" w:beforeAutospacing="0" w:after="0" w:afterAutospacing="0" w:line="360" w:lineRule="auto"/>
        <w:ind w:firstLine="240" w:firstLineChars="100"/>
        <w:jc w:val="both"/>
      </w:pPr>
      <w:r>
        <w:rPr>
          <w:rFonts w:hint="eastAsia"/>
        </w:rPr>
        <w:t>20.2  宣布评标纪律；</w:t>
      </w:r>
    </w:p>
    <w:p>
      <w:pPr>
        <w:pStyle w:val="23"/>
        <w:adjustRightInd w:val="0"/>
        <w:snapToGrid w:val="0"/>
        <w:spacing w:before="0" w:beforeAutospacing="0" w:after="0" w:afterAutospacing="0" w:line="360" w:lineRule="auto"/>
        <w:ind w:firstLine="240" w:firstLineChars="100"/>
        <w:jc w:val="both"/>
      </w:pPr>
      <w:r>
        <w:rPr>
          <w:rFonts w:hint="eastAsia"/>
        </w:rPr>
        <w:t>20.3  公布投标人名单，告知评审专家应当回避的情形；</w:t>
      </w:r>
    </w:p>
    <w:p>
      <w:pPr>
        <w:pStyle w:val="23"/>
        <w:adjustRightInd w:val="0"/>
        <w:snapToGrid w:val="0"/>
        <w:spacing w:before="0" w:beforeAutospacing="0" w:after="0" w:afterAutospacing="0" w:line="360" w:lineRule="auto"/>
        <w:ind w:firstLine="240" w:firstLineChars="100"/>
        <w:jc w:val="both"/>
      </w:pPr>
      <w:r>
        <w:rPr>
          <w:rFonts w:hint="eastAsia"/>
        </w:rPr>
        <w:t>20.4  组织评标委员会推选评标组长，采购人代表不得担任组长；</w:t>
      </w:r>
    </w:p>
    <w:p>
      <w:pPr>
        <w:pStyle w:val="23"/>
        <w:adjustRightInd w:val="0"/>
        <w:snapToGrid w:val="0"/>
        <w:spacing w:before="0" w:beforeAutospacing="0" w:after="0" w:afterAutospacing="0" w:line="360" w:lineRule="auto"/>
        <w:ind w:firstLine="240" w:firstLineChars="100"/>
        <w:jc w:val="both"/>
      </w:pPr>
      <w:r>
        <w:rPr>
          <w:rFonts w:hint="eastAsia"/>
        </w:rPr>
        <w:t>20.5  在评标期间采取必要的通讯管理措施，保证评标活动不受外界干扰；</w:t>
      </w:r>
    </w:p>
    <w:p>
      <w:pPr>
        <w:pStyle w:val="23"/>
        <w:adjustRightInd w:val="0"/>
        <w:snapToGrid w:val="0"/>
        <w:spacing w:before="0" w:beforeAutospacing="0" w:after="0" w:afterAutospacing="0" w:line="360" w:lineRule="auto"/>
        <w:ind w:firstLine="240" w:firstLineChars="100"/>
        <w:jc w:val="both"/>
      </w:pPr>
      <w:r>
        <w:rPr>
          <w:rFonts w:hint="eastAsia"/>
        </w:rPr>
        <w:t>20.6  根据评标委员会的要求介绍政府采购相关政策法规、招标文件；</w:t>
      </w:r>
    </w:p>
    <w:p>
      <w:pPr>
        <w:pStyle w:val="23"/>
        <w:adjustRightInd w:val="0"/>
        <w:snapToGrid w:val="0"/>
        <w:spacing w:before="0" w:beforeAutospacing="0" w:after="0" w:afterAutospacing="0" w:line="360" w:lineRule="auto"/>
        <w:ind w:firstLine="240" w:firstLineChars="100"/>
        <w:jc w:val="both"/>
      </w:pPr>
      <w:r>
        <w:rPr>
          <w:rFonts w:hint="eastAsia"/>
        </w:rPr>
        <w:t>20.7  维护评标秩序，监督评标委员会依照招标文件规定的评标程序、方法和标准进行独立评审，及时制止和纠正采购人代表、评审专家的倾向性言论或者违法违规行为；</w:t>
      </w:r>
    </w:p>
    <w:p>
      <w:pPr>
        <w:pStyle w:val="23"/>
        <w:adjustRightInd w:val="0"/>
        <w:snapToGrid w:val="0"/>
        <w:spacing w:before="0" w:beforeAutospacing="0" w:after="0" w:afterAutospacing="0" w:line="360" w:lineRule="auto"/>
        <w:ind w:firstLine="240" w:firstLineChars="100"/>
        <w:jc w:val="both"/>
      </w:pPr>
      <w:r>
        <w:rPr>
          <w:rFonts w:hint="eastAsia"/>
        </w:rPr>
        <w:t>20.8  核对评标结果，评标结果汇总完成后，任何人不得修改评标结果，除汇总计算错误的；要求评标委员会复核或者书面说明理由，评标委员会拒绝的，应予记录并向监督部门报告；</w:t>
      </w:r>
    </w:p>
    <w:p>
      <w:pPr>
        <w:pStyle w:val="23"/>
        <w:adjustRightInd w:val="0"/>
        <w:snapToGrid w:val="0"/>
        <w:spacing w:before="0" w:beforeAutospacing="0" w:after="0" w:afterAutospacing="0" w:line="360" w:lineRule="auto"/>
        <w:ind w:firstLine="240" w:firstLineChars="100"/>
        <w:jc w:val="both"/>
      </w:pPr>
      <w:r>
        <w:rPr>
          <w:rFonts w:hint="eastAsia"/>
        </w:rPr>
        <w:t>20.9  评审工作完成后，按照规定向评审专家支付劳务报酬和异地评审差旅费，不得向评审专家以外的其他人员支付评审劳务报酬；</w:t>
      </w:r>
    </w:p>
    <w:p>
      <w:pPr>
        <w:pStyle w:val="23"/>
        <w:adjustRightInd w:val="0"/>
        <w:snapToGrid w:val="0"/>
        <w:spacing w:before="0" w:beforeAutospacing="0" w:after="0" w:afterAutospacing="0" w:line="360" w:lineRule="auto"/>
        <w:ind w:firstLine="240" w:firstLineChars="100"/>
        <w:jc w:val="both"/>
      </w:pPr>
      <w:r>
        <w:rPr>
          <w:rFonts w:hint="eastAsia"/>
        </w:rPr>
        <w:t>20.10  处理与评标有关的其他事项。</w:t>
      </w:r>
    </w:p>
    <w:p>
      <w:pPr>
        <w:pStyle w:val="23"/>
        <w:adjustRightInd w:val="0"/>
        <w:snapToGrid w:val="0"/>
        <w:spacing w:before="0" w:beforeAutospacing="0" w:after="0" w:afterAutospacing="0" w:line="360" w:lineRule="auto"/>
        <w:ind w:firstLine="240" w:firstLineChars="100"/>
        <w:jc w:val="both"/>
      </w:pPr>
      <w:r>
        <w:rPr>
          <w:rFonts w:hint="eastAsia"/>
        </w:rPr>
        <w:t>采购人或采购代理机构可以在评标前说明项目背景和采购需求，说明内容不得含有歧视性、倾向性意见，不得超出招标文件所述范围。说明应当提交书面材料，并随采购文件一并存档。</w:t>
      </w:r>
    </w:p>
    <w:p>
      <w:pPr>
        <w:spacing w:line="360" w:lineRule="auto"/>
        <w:outlineLvl w:val="2"/>
        <w:rPr>
          <w:rFonts w:ascii="宋体" w:hAnsi="宋体" w:cs="宋体"/>
          <w:b/>
          <w:bCs/>
          <w:sz w:val="24"/>
        </w:rPr>
      </w:pPr>
      <w:bookmarkStart w:id="63" w:name="_Toc20428"/>
      <w:r>
        <w:rPr>
          <w:rFonts w:hint="eastAsia" w:ascii="宋体" w:hAnsi="宋体" w:cs="宋体"/>
          <w:b/>
          <w:bCs/>
          <w:sz w:val="24"/>
        </w:rPr>
        <w:t>21.评标委员会评标事务和履行职责</w:t>
      </w:r>
      <w:bookmarkEnd w:id="63"/>
    </w:p>
    <w:p>
      <w:pPr>
        <w:pStyle w:val="23"/>
        <w:adjustRightInd w:val="0"/>
        <w:snapToGrid w:val="0"/>
        <w:spacing w:before="0" w:beforeAutospacing="0" w:after="0" w:afterAutospacing="0" w:line="360" w:lineRule="auto"/>
        <w:ind w:firstLine="240" w:firstLineChars="100"/>
        <w:jc w:val="both"/>
      </w:pPr>
      <w:r>
        <w:rPr>
          <w:rFonts w:hint="eastAsia"/>
        </w:rPr>
        <w:t>评标委员会负责具体评标事务，并独立履行下列职责：</w:t>
      </w:r>
    </w:p>
    <w:p>
      <w:pPr>
        <w:pStyle w:val="23"/>
        <w:adjustRightInd w:val="0"/>
        <w:snapToGrid w:val="0"/>
        <w:spacing w:before="0" w:beforeAutospacing="0" w:after="0" w:afterAutospacing="0" w:line="360" w:lineRule="auto"/>
        <w:ind w:firstLine="240" w:firstLineChars="100"/>
        <w:jc w:val="both"/>
      </w:pPr>
      <w:r>
        <w:rPr>
          <w:rFonts w:hint="eastAsia"/>
        </w:rPr>
        <w:t>21.1  审查、评价投标文件是否符合招标文件的商务、技术等实质性要求；</w:t>
      </w:r>
    </w:p>
    <w:p>
      <w:pPr>
        <w:pStyle w:val="23"/>
        <w:adjustRightInd w:val="0"/>
        <w:snapToGrid w:val="0"/>
        <w:spacing w:before="0" w:beforeAutospacing="0" w:after="0" w:afterAutospacing="0" w:line="360" w:lineRule="auto"/>
        <w:ind w:firstLine="240" w:firstLineChars="100"/>
        <w:jc w:val="both"/>
      </w:pPr>
      <w:r>
        <w:rPr>
          <w:rFonts w:hint="eastAsia"/>
        </w:rPr>
        <w:t>21.2  要求投标人对投标文件有关事项作出澄清或者说明；</w:t>
      </w:r>
    </w:p>
    <w:p>
      <w:pPr>
        <w:pStyle w:val="23"/>
        <w:adjustRightInd w:val="0"/>
        <w:snapToGrid w:val="0"/>
        <w:spacing w:before="0" w:beforeAutospacing="0" w:after="0" w:afterAutospacing="0" w:line="360" w:lineRule="auto"/>
        <w:ind w:firstLine="240" w:firstLineChars="100"/>
        <w:jc w:val="both"/>
      </w:pPr>
      <w:r>
        <w:rPr>
          <w:rFonts w:hint="eastAsia"/>
        </w:rPr>
        <w:t>21.3  对投标文件进行比较和评价；</w:t>
      </w:r>
    </w:p>
    <w:p>
      <w:pPr>
        <w:pStyle w:val="23"/>
        <w:adjustRightInd w:val="0"/>
        <w:snapToGrid w:val="0"/>
        <w:spacing w:before="0" w:beforeAutospacing="0" w:after="0" w:afterAutospacing="0" w:line="360" w:lineRule="auto"/>
        <w:ind w:firstLine="240" w:firstLineChars="100"/>
        <w:jc w:val="both"/>
      </w:pPr>
      <w:r>
        <w:rPr>
          <w:rFonts w:hint="eastAsia"/>
        </w:rPr>
        <w:t>21.4  确定中标候选人名单，或者根据采购人委托直接确定中标人；</w:t>
      </w:r>
    </w:p>
    <w:p>
      <w:pPr>
        <w:pStyle w:val="23"/>
        <w:adjustRightInd w:val="0"/>
        <w:snapToGrid w:val="0"/>
        <w:spacing w:before="0" w:beforeAutospacing="0" w:after="0" w:afterAutospacing="0" w:line="360" w:lineRule="auto"/>
        <w:ind w:firstLine="240" w:firstLineChars="100"/>
        <w:jc w:val="both"/>
      </w:pPr>
      <w:r>
        <w:rPr>
          <w:rFonts w:hint="eastAsia"/>
        </w:rPr>
        <w:t>21.5  向采购人、采购代理机构或者有关部门报告评标中发现的违法行为。</w:t>
      </w:r>
    </w:p>
    <w:p>
      <w:pPr>
        <w:spacing w:line="360" w:lineRule="auto"/>
        <w:outlineLvl w:val="2"/>
        <w:rPr>
          <w:rFonts w:ascii="宋体" w:hAnsi="宋体" w:cs="宋体"/>
          <w:b/>
          <w:bCs/>
          <w:sz w:val="24"/>
        </w:rPr>
      </w:pPr>
      <w:bookmarkStart w:id="64" w:name="_Toc29748"/>
      <w:r>
        <w:rPr>
          <w:rFonts w:hint="eastAsia" w:ascii="宋体" w:hAnsi="宋体" w:cs="宋体"/>
          <w:b/>
          <w:bCs/>
          <w:sz w:val="24"/>
        </w:rPr>
        <w:t>22.符合性审查</w:t>
      </w:r>
      <w:bookmarkEnd w:id="64"/>
    </w:p>
    <w:p>
      <w:pPr>
        <w:pStyle w:val="23"/>
        <w:adjustRightInd w:val="0"/>
        <w:snapToGrid w:val="0"/>
        <w:spacing w:before="0" w:beforeAutospacing="0" w:after="0" w:afterAutospacing="0" w:line="360" w:lineRule="auto"/>
        <w:ind w:firstLine="240" w:firstLineChars="100"/>
        <w:jc w:val="both"/>
        <w:rPr>
          <w:b/>
          <w:bCs/>
        </w:rPr>
      </w:pPr>
      <w:r>
        <w:rPr>
          <w:rFonts w:hint="eastAsia"/>
        </w:rPr>
        <w:t>评标委员会应当对符合资格的投标人的投标文件进行符合性审查，以确定其是否满足招标文件的实质性要求。</w:t>
      </w:r>
    </w:p>
    <w:p>
      <w:pPr>
        <w:spacing w:line="360" w:lineRule="auto"/>
        <w:outlineLvl w:val="2"/>
        <w:rPr>
          <w:rFonts w:ascii="宋体" w:hAnsi="宋体" w:cs="宋体"/>
          <w:b/>
          <w:bCs/>
          <w:sz w:val="24"/>
        </w:rPr>
      </w:pPr>
      <w:bookmarkStart w:id="65" w:name="_Toc23843"/>
      <w:r>
        <w:rPr>
          <w:rFonts w:hint="eastAsia" w:ascii="宋体" w:hAnsi="宋体" w:cs="宋体"/>
          <w:b/>
          <w:bCs/>
          <w:sz w:val="24"/>
        </w:rPr>
        <w:t>23.无效标条款</w:t>
      </w:r>
      <w:bookmarkEnd w:id="65"/>
    </w:p>
    <w:p>
      <w:pPr>
        <w:pStyle w:val="23"/>
        <w:adjustRightInd w:val="0"/>
        <w:snapToGrid w:val="0"/>
        <w:spacing w:before="0" w:beforeAutospacing="0" w:after="0" w:afterAutospacing="0" w:line="360" w:lineRule="auto"/>
        <w:ind w:firstLine="240" w:firstLineChars="100"/>
        <w:jc w:val="both"/>
      </w:pPr>
      <w:r>
        <w:rPr>
          <w:rFonts w:hint="eastAsia"/>
        </w:rPr>
        <w:t>投标人存在下列情况之一的，投标无效：</w:t>
      </w:r>
    </w:p>
    <w:p>
      <w:pPr>
        <w:pStyle w:val="23"/>
        <w:adjustRightInd w:val="0"/>
        <w:snapToGrid w:val="0"/>
        <w:spacing w:before="0" w:beforeAutospacing="0" w:after="0" w:afterAutospacing="0" w:line="360" w:lineRule="auto"/>
        <w:ind w:firstLine="240" w:firstLineChars="100"/>
        <w:jc w:val="both"/>
      </w:pPr>
      <w:r>
        <w:rPr>
          <w:rFonts w:hint="eastAsia"/>
        </w:rPr>
        <w:t>23.1  投标文件未按招标文件要求签署、盖章的；</w:t>
      </w:r>
    </w:p>
    <w:p>
      <w:pPr>
        <w:pStyle w:val="23"/>
        <w:adjustRightInd w:val="0"/>
        <w:snapToGrid w:val="0"/>
        <w:spacing w:before="0" w:beforeAutospacing="0" w:after="0" w:afterAutospacing="0" w:line="360" w:lineRule="auto"/>
        <w:ind w:firstLine="240" w:firstLineChars="100"/>
        <w:jc w:val="both"/>
      </w:pPr>
      <w:r>
        <w:rPr>
          <w:rFonts w:hint="eastAsia"/>
        </w:rPr>
        <w:t>23.2  不具备招标文件中规定的资格资质要求的；</w:t>
      </w:r>
    </w:p>
    <w:p>
      <w:pPr>
        <w:pStyle w:val="23"/>
        <w:adjustRightInd w:val="0"/>
        <w:snapToGrid w:val="0"/>
        <w:spacing w:before="0" w:beforeAutospacing="0" w:after="0" w:afterAutospacing="0" w:line="360" w:lineRule="auto"/>
        <w:ind w:firstLine="240" w:firstLineChars="100"/>
        <w:jc w:val="both"/>
      </w:pPr>
      <w:r>
        <w:rPr>
          <w:rFonts w:hint="eastAsia"/>
        </w:rPr>
        <w:t>23.3  报价超过招标文件中规定的预算金额或者最高限价的；</w:t>
      </w:r>
    </w:p>
    <w:p>
      <w:pPr>
        <w:pStyle w:val="23"/>
        <w:adjustRightInd w:val="0"/>
        <w:snapToGrid w:val="0"/>
        <w:spacing w:before="0" w:beforeAutospacing="0" w:after="0" w:afterAutospacing="0" w:line="360" w:lineRule="auto"/>
        <w:ind w:firstLine="240" w:firstLineChars="100"/>
        <w:jc w:val="both"/>
      </w:pPr>
      <w:r>
        <w:rPr>
          <w:rFonts w:hint="eastAsia"/>
        </w:rPr>
        <w:t>23.4  投标文件含有采购人不能接受的附加条件的；</w:t>
      </w:r>
    </w:p>
    <w:p>
      <w:pPr>
        <w:pStyle w:val="23"/>
        <w:adjustRightInd w:val="0"/>
        <w:snapToGrid w:val="0"/>
        <w:spacing w:before="0" w:beforeAutospacing="0" w:after="0" w:afterAutospacing="0" w:line="360" w:lineRule="auto"/>
        <w:ind w:firstLine="240" w:firstLineChars="100"/>
        <w:jc w:val="both"/>
      </w:pPr>
      <w:r>
        <w:rPr>
          <w:rFonts w:hint="eastAsia"/>
        </w:rPr>
        <w:t>23.5  未按招标文件规定报价的；</w:t>
      </w:r>
    </w:p>
    <w:p>
      <w:pPr>
        <w:pStyle w:val="23"/>
        <w:adjustRightInd w:val="0"/>
        <w:snapToGrid w:val="0"/>
        <w:spacing w:before="0" w:beforeAutospacing="0" w:after="0" w:afterAutospacing="0" w:line="360" w:lineRule="auto"/>
        <w:ind w:firstLine="240" w:firstLineChars="100"/>
        <w:jc w:val="both"/>
      </w:pPr>
      <w:r>
        <w:rPr>
          <w:rFonts w:hint="eastAsia"/>
        </w:rPr>
        <w:t>23.6  投标有效期、供货时间、交货期限等不满足招标文件要求的；</w:t>
      </w:r>
    </w:p>
    <w:p>
      <w:pPr>
        <w:pStyle w:val="23"/>
        <w:adjustRightInd w:val="0"/>
        <w:snapToGrid w:val="0"/>
        <w:spacing w:before="0" w:beforeAutospacing="0" w:after="0" w:afterAutospacing="0" w:line="360" w:lineRule="auto"/>
        <w:ind w:firstLine="240" w:firstLineChars="100"/>
        <w:jc w:val="both"/>
      </w:pPr>
      <w:r>
        <w:rPr>
          <w:rFonts w:hint="eastAsia"/>
        </w:rPr>
        <w:t>23.7  投标人未遵循公平竞争的原则，恶意串通，妨碍其他投标人的竞争行为，损害采购人或者其他投标人的合法权益的；</w:t>
      </w:r>
    </w:p>
    <w:p>
      <w:pPr>
        <w:pStyle w:val="23"/>
        <w:adjustRightInd w:val="0"/>
        <w:snapToGrid w:val="0"/>
        <w:spacing w:before="0" w:beforeAutospacing="0" w:after="0" w:afterAutospacing="0" w:line="360" w:lineRule="auto"/>
        <w:ind w:firstLine="240" w:firstLineChars="100"/>
        <w:jc w:val="both"/>
      </w:pPr>
      <w:r>
        <w:rPr>
          <w:rFonts w:hint="eastAsia"/>
        </w:rPr>
        <w:t>23.8  有下列情形之一的，视为投标人串通投标，其投标无效：</w:t>
      </w:r>
    </w:p>
    <w:p>
      <w:pPr>
        <w:pStyle w:val="23"/>
        <w:adjustRightInd w:val="0"/>
        <w:snapToGrid w:val="0"/>
        <w:spacing w:before="0" w:beforeAutospacing="0" w:after="0" w:afterAutospacing="0" w:line="360" w:lineRule="auto"/>
        <w:ind w:firstLine="240" w:firstLineChars="100"/>
        <w:jc w:val="both"/>
      </w:pPr>
      <w:r>
        <w:rPr>
          <w:rFonts w:hint="eastAsia"/>
        </w:rPr>
        <w:t>（1）不同投标人的投标文件由同一单位或者个人编制；</w:t>
      </w:r>
    </w:p>
    <w:p>
      <w:pPr>
        <w:pStyle w:val="23"/>
        <w:adjustRightInd w:val="0"/>
        <w:snapToGrid w:val="0"/>
        <w:spacing w:before="0" w:beforeAutospacing="0" w:after="0" w:afterAutospacing="0" w:line="360" w:lineRule="auto"/>
        <w:ind w:firstLine="240" w:firstLineChars="100"/>
        <w:jc w:val="both"/>
      </w:pPr>
      <w:r>
        <w:rPr>
          <w:rFonts w:hint="eastAsia"/>
        </w:rPr>
        <w:t>（2）不同投标人委托同一单位或者个人办理投标事宜；</w:t>
      </w:r>
    </w:p>
    <w:p>
      <w:pPr>
        <w:pStyle w:val="23"/>
        <w:adjustRightInd w:val="0"/>
        <w:snapToGrid w:val="0"/>
        <w:spacing w:before="0" w:beforeAutospacing="0" w:after="0" w:afterAutospacing="0" w:line="360" w:lineRule="auto"/>
        <w:ind w:firstLine="240" w:firstLineChars="100"/>
        <w:jc w:val="both"/>
      </w:pPr>
      <w:r>
        <w:rPr>
          <w:rFonts w:hint="eastAsia"/>
        </w:rPr>
        <w:t>（3）不同投标人的投标文件载明的项目管理成员或者联系人员为同一人；</w:t>
      </w:r>
    </w:p>
    <w:p>
      <w:pPr>
        <w:pStyle w:val="23"/>
        <w:adjustRightInd w:val="0"/>
        <w:snapToGrid w:val="0"/>
        <w:spacing w:before="0" w:beforeAutospacing="0" w:after="0" w:afterAutospacing="0" w:line="360" w:lineRule="auto"/>
        <w:ind w:firstLine="240" w:firstLineChars="100"/>
        <w:jc w:val="both"/>
      </w:pPr>
      <w:r>
        <w:rPr>
          <w:rFonts w:hint="eastAsia"/>
        </w:rPr>
        <w:t>（4）不同投标人的投标文件异常一致或者投标报价呈规律性差异；</w:t>
      </w:r>
    </w:p>
    <w:p>
      <w:pPr>
        <w:pStyle w:val="23"/>
        <w:adjustRightInd w:val="0"/>
        <w:snapToGrid w:val="0"/>
        <w:spacing w:before="0" w:beforeAutospacing="0" w:after="0" w:afterAutospacing="0" w:line="360" w:lineRule="auto"/>
        <w:ind w:firstLine="240" w:firstLineChars="100"/>
        <w:jc w:val="both"/>
      </w:pPr>
      <w:r>
        <w:rPr>
          <w:rFonts w:hint="eastAsia"/>
        </w:rPr>
        <w:t>（5）不同投标人的投标文件相互混装；</w:t>
      </w:r>
    </w:p>
    <w:p>
      <w:pPr>
        <w:pStyle w:val="23"/>
        <w:adjustRightInd w:val="0"/>
        <w:snapToGrid w:val="0"/>
        <w:spacing w:before="0" w:beforeAutospacing="0" w:after="0" w:afterAutospacing="0" w:line="360" w:lineRule="auto"/>
        <w:ind w:firstLine="240" w:firstLineChars="100"/>
        <w:jc w:val="both"/>
      </w:pPr>
      <w:r>
        <w:rPr>
          <w:rFonts w:hint="eastAsia"/>
        </w:rPr>
        <w:t>23.9  投标人递交两份或多份内容不同的投标文件，或在一份投标文件中对同一招标项目报有两个或多个报价，且未声明哪一个有效，按招标文件规定提交备选方案的除外；</w:t>
      </w:r>
    </w:p>
    <w:p>
      <w:pPr>
        <w:pStyle w:val="23"/>
        <w:adjustRightInd w:val="0"/>
        <w:snapToGrid w:val="0"/>
        <w:spacing w:before="0" w:beforeAutospacing="0" w:after="0" w:afterAutospacing="0" w:line="360" w:lineRule="auto"/>
        <w:ind w:firstLine="240" w:firstLineChars="100"/>
        <w:jc w:val="both"/>
      </w:pPr>
      <w:r>
        <w:rPr>
          <w:rFonts w:hint="eastAsia"/>
        </w:rPr>
        <w:t>23.10  投标文件未加密的，或者在规定时段内未发送解密密码的；</w:t>
      </w:r>
    </w:p>
    <w:p>
      <w:pPr>
        <w:pStyle w:val="23"/>
        <w:adjustRightInd w:val="0"/>
        <w:snapToGrid w:val="0"/>
        <w:spacing w:before="0" w:beforeAutospacing="0" w:after="0" w:afterAutospacing="0" w:line="360" w:lineRule="auto"/>
        <w:ind w:firstLine="240" w:firstLineChars="100"/>
        <w:jc w:val="both"/>
      </w:pPr>
      <w:r>
        <w:rPr>
          <w:rFonts w:hint="eastAsia"/>
        </w:rPr>
        <w:t>23.11  因PDF文档不清晰让评标委员会无法评审的；</w:t>
      </w:r>
    </w:p>
    <w:p>
      <w:pPr>
        <w:pStyle w:val="23"/>
        <w:adjustRightInd w:val="0"/>
        <w:snapToGrid w:val="0"/>
        <w:spacing w:before="0" w:beforeAutospacing="0" w:after="0" w:afterAutospacing="0" w:line="360" w:lineRule="auto"/>
        <w:ind w:firstLine="240" w:firstLineChars="100"/>
        <w:jc w:val="both"/>
      </w:pPr>
      <w:r>
        <w:rPr>
          <w:rFonts w:hint="eastAsia"/>
        </w:rPr>
        <w:t>23.12  未按招标文件要求制作投标文件PDF的；</w:t>
      </w:r>
    </w:p>
    <w:p>
      <w:pPr>
        <w:pStyle w:val="23"/>
        <w:adjustRightInd w:val="0"/>
        <w:snapToGrid w:val="0"/>
        <w:spacing w:before="0" w:beforeAutospacing="0" w:after="0" w:afterAutospacing="0" w:line="360" w:lineRule="auto"/>
        <w:ind w:firstLine="240" w:firstLineChars="100"/>
        <w:jc w:val="both"/>
      </w:pPr>
      <w:r>
        <w:rPr>
          <w:rFonts w:hint="eastAsia"/>
        </w:rPr>
        <w:t>23.13  不同投标人的投标文件由同一邮箱发送投标文件的；</w:t>
      </w:r>
    </w:p>
    <w:p>
      <w:pPr>
        <w:pStyle w:val="23"/>
        <w:adjustRightInd w:val="0"/>
        <w:snapToGrid w:val="0"/>
        <w:spacing w:before="0" w:beforeAutospacing="0" w:after="0" w:afterAutospacing="0" w:line="360" w:lineRule="auto"/>
        <w:ind w:firstLine="240" w:firstLineChars="100"/>
        <w:jc w:val="both"/>
      </w:pPr>
      <w:r>
        <w:rPr>
          <w:rFonts w:hint="eastAsia"/>
        </w:rPr>
        <w:t>2</w:t>
      </w:r>
      <w:r>
        <w:rPr>
          <w:rFonts w:hint="eastAsia"/>
          <w:b/>
          <w:bCs/>
        </w:rPr>
        <w:t>3.14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23"/>
        <w:adjustRightInd w:val="0"/>
        <w:snapToGrid w:val="0"/>
        <w:spacing w:before="0" w:beforeAutospacing="0" w:after="0" w:afterAutospacing="0" w:line="360" w:lineRule="auto"/>
        <w:ind w:firstLine="240" w:firstLineChars="100"/>
        <w:jc w:val="both"/>
      </w:pPr>
      <w:r>
        <w:rPr>
          <w:rFonts w:hint="eastAsia"/>
        </w:rPr>
        <w:t>23.15  法律、法规和招标文件规定的其他无效情形。</w:t>
      </w:r>
    </w:p>
    <w:p>
      <w:pPr>
        <w:pStyle w:val="23"/>
        <w:adjustRightInd w:val="0"/>
        <w:snapToGrid w:val="0"/>
        <w:spacing w:before="0" w:beforeAutospacing="0" w:after="0" w:afterAutospacing="0" w:line="360" w:lineRule="auto"/>
        <w:jc w:val="both"/>
        <w:rPr>
          <w:b/>
          <w:bCs/>
        </w:rPr>
      </w:pPr>
      <w:r>
        <w:rPr>
          <w:rFonts w:hint="eastAsia"/>
          <w:b/>
          <w:bCs/>
        </w:rPr>
        <w:t>24.澄清、说明或者补正</w:t>
      </w:r>
    </w:p>
    <w:p>
      <w:pPr>
        <w:pStyle w:val="23"/>
        <w:adjustRightInd w:val="0"/>
        <w:snapToGrid w:val="0"/>
        <w:spacing w:before="0" w:beforeAutospacing="0" w:after="0" w:afterAutospacing="0" w:line="360" w:lineRule="auto"/>
        <w:ind w:firstLine="240" w:firstLineChars="100"/>
        <w:jc w:val="both"/>
      </w:pPr>
      <w:r>
        <w:rPr>
          <w:rFonts w:hint="eastAsia"/>
        </w:rPr>
        <w:t>24.1  对于投标文件中含义不明确、同类问题表述不一致或者有明显文字和计算错误的内容，评标委员会应当以书面形式要求投标人作出必要的澄清、说明或者补正。</w:t>
      </w:r>
    </w:p>
    <w:p>
      <w:pPr>
        <w:pStyle w:val="23"/>
        <w:adjustRightInd w:val="0"/>
        <w:snapToGrid w:val="0"/>
        <w:spacing w:before="0" w:beforeAutospacing="0" w:after="0" w:afterAutospacing="0" w:line="360" w:lineRule="auto"/>
        <w:ind w:firstLine="240" w:firstLineChars="100"/>
        <w:jc w:val="both"/>
      </w:pPr>
      <w:r>
        <w:rPr>
          <w:rFonts w:hint="eastAsia"/>
        </w:rPr>
        <w:t>24.2  投标人的澄清、说明或者补正应当采用书面形式，并加盖公章，或者由法定代表人（负责人）或其授权的代表签字。投标人的澄清、说明或者补正不得超出投标文件的范围或者改变投标文件的实质性内容。</w:t>
      </w:r>
    </w:p>
    <w:p>
      <w:pPr>
        <w:spacing w:line="360" w:lineRule="auto"/>
        <w:outlineLvl w:val="2"/>
        <w:rPr>
          <w:rFonts w:ascii="宋体" w:hAnsi="宋体" w:cs="宋体"/>
          <w:b/>
          <w:bCs/>
          <w:sz w:val="24"/>
        </w:rPr>
      </w:pPr>
      <w:bookmarkStart w:id="66" w:name="_Toc29711"/>
      <w:r>
        <w:rPr>
          <w:rFonts w:hint="eastAsia" w:ascii="宋体" w:hAnsi="宋体" w:cs="宋体"/>
          <w:b/>
          <w:bCs/>
          <w:sz w:val="24"/>
        </w:rPr>
        <w:t>25.投标文件报价修正</w:t>
      </w:r>
      <w:bookmarkEnd w:id="66"/>
    </w:p>
    <w:p>
      <w:pPr>
        <w:spacing w:line="360" w:lineRule="auto"/>
        <w:ind w:firstLine="240" w:firstLineChars="100"/>
        <w:outlineLvl w:val="2"/>
        <w:rPr>
          <w:rFonts w:ascii="宋体" w:hAnsi="宋体" w:cs="宋体"/>
          <w:bCs/>
          <w:sz w:val="24"/>
        </w:rPr>
      </w:pPr>
      <w:r>
        <w:rPr>
          <w:rFonts w:hint="eastAsia" w:ascii="宋体" w:hAnsi="宋体" w:cs="宋体"/>
          <w:bCs/>
          <w:sz w:val="24"/>
        </w:rPr>
        <w:t>投标文件报价出现前后不一致的，按照下列规定修正：</w:t>
      </w:r>
    </w:p>
    <w:p>
      <w:pPr>
        <w:spacing w:line="360" w:lineRule="auto"/>
        <w:ind w:firstLine="240" w:firstLineChars="100"/>
        <w:outlineLvl w:val="2"/>
        <w:rPr>
          <w:rFonts w:ascii="宋体" w:hAnsi="宋体" w:cs="宋体"/>
          <w:bCs/>
          <w:sz w:val="24"/>
        </w:rPr>
      </w:pPr>
      <w:r>
        <w:rPr>
          <w:rFonts w:hint="eastAsia" w:ascii="宋体" w:hAnsi="宋体" w:cs="宋体"/>
          <w:bCs/>
          <w:sz w:val="24"/>
        </w:rPr>
        <w:t>25.1  投标文件中开标一览表（报价表）内容与投标文件中相应内容不一致的，以开标一览表（报价表）为准；</w:t>
      </w:r>
    </w:p>
    <w:p>
      <w:pPr>
        <w:spacing w:line="360" w:lineRule="auto"/>
        <w:ind w:firstLine="240" w:firstLineChars="100"/>
        <w:outlineLvl w:val="2"/>
        <w:rPr>
          <w:rFonts w:ascii="宋体" w:hAnsi="宋体" w:cs="宋体"/>
          <w:bCs/>
          <w:sz w:val="24"/>
        </w:rPr>
      </w:pPr>
      <w:r>
        <w:rPr>
          <w:rFonts w:hint="eastAsia" w:ascii="宋体" w:hAnsi="宋体" w:cs="宋体"/>
          <w:bCs/>
          <w:sz w:val="24"/>
        </w:rPr>
        <w:t>25.2  大写金额和小写金额不一致的，以大写金额为准；</w:t>
      </w:r>
    </w:p>
    <w:p>
      <w:pPr>
        <w:spacing w:line="360" w:lineRule="auto"/>
        <w:ind w:firstLine="240" w:firstLineChars="100"/>
        <w:outlineLvl w:val="2"/>
        <w:rPr>
          <w:rFonts w:ascii="宋体" w:hAnsi="宋体" w:cs="宋体"/>
          <w:bCs/>
          <w:sz w:val="24"/>
        </w:rPr>
      </w:pPr>
      <w:r>
        <w:rPr>
          <w:rFonts w:hint="eastAsia" w:ascii="宋体" w:hAnsi="宋体" w:cs="宋体"/>
          <w:bCs/>
          <w:sz w:val="24"/>
        </w:rPr>
        <w:t>25.3  单价金额小数点或者百分比有明显错位的，以开标一览表的总价为准，并修改单价；</w:t>
      </w:r>
    </w:p>
    <w:p>
      <w:pPr>
        <w:spacing w:line="360" w:lineRule="auto"/>
        <w:ind w:firstLine="240" w:firstLineChars="100"/>
        <w:outlineLvl w:val="2"/>
        <w:rPr>
          <w:rFonts w:ascii="宋体" w:hAnsi="宋体" w:cs="宋体"/>
          <w:bCs/>
          <w:sz w:val="24"/>
        </w:rPr>
      </w:pPr>
      <w:r>
        <w:rPr>
          <w:rFonts w:hint="eastAsia" w:ascii="宋体" w:hAnsi="宋体" w:cs="宋体"/>
          <w:bCs/>
          <w:sz w:val="24"/>
        </w:rPr>
        <w:t>25.4  总价金额与按单价汇总金额不一致的，以单价金额计算结果为准。</w:t>
      </w:r>
    </w:p>
    <w:p>
      <w:pPr>
        <w:spacing w:line="360" w:lineRule="auto"/>
        <w:ind w:firstLine="240" w:firstLineChars="100"/>
        <w:outlineLvl w:val="2"/>
        <w:rPr>
          <w:rFonts w:ascii="宋体" w:hAnsi="宋体" w:cs="宋体"/>
          <w:bCs/>
          <w:sz w:val="24"/>
        </w:rPr>
      </w:pPr>
      <w:r>
        <w:rPr>
          <w:rFonts w:hint="eastAsia" w:ascii="宋体" w:hAnsi="宋体" w:cs="宋体"/>
          <w:bCs/>
          <w:sz w:val="24"/>
        </w:rPr>
        <w:t>同时出现两种以上不一致的，按照前款规定的顺序修正。修正后的报价应当采用书面形式，并加盖公章，或者由法定代表人（负责人）或其授权的代表签字确认后产生约束力，投标人不确认的，其投标无效。</w:t>
      </w:r>
      <w:bookmarkStart w:id="67" w:name="_Toc26186"/>
    </w:p>
    <w:p>
      <w:pPr>
        <w:spacing w:line="360" w:lineRule="auto"/>
        <w:outlineLvl w:val="2"/>
        <w:rPr>
          <w:rFonts w:ascii="宋体" w:hAnsi="宋体" w:cs="宋体"/>
          <w:sz w:val="24"/>
        </w:rPr>
      </w:pPr>
      <w:r>
        <w:rPr>
          <w:rFonts w:hint="eastAsia" w:ascii="宋体" w:hAnsi="宋体" w:cs="宋体"/>
          <w:b/>
          <w:bCs/>
          <w:sz w:val="24"/>
        </w:rPr>
        <w:t>26.不允许偏离的实质性要求和条件</w:t>
      </w:r>
      <w:bookmarkEnd w:id="67"/>
    </w:p>
    <w:p>
      <w:pPr>
        <w:spacing w:line="360" w:lineRule="auto"/>
        <w:ind w:firstLine="240" w:firstLineChars="100"/>
        <w:rPr>
          <w:rFonts w:ascii="宋体" w:hAnsi="宋体" w:cs="宋体"/>
        </w:rPr>
      </w:pPr>
      <w:r>
        <w:rPr>
          <w:rFonts w:hint="eastAsia" w:ascii="宋体" w:hAnsi="宋体" w:cs="宋体"/>
          <w:sz w:val="24"/>
        </w:rPr>
        <w:t>投标人不得通过修正或撤销不符合要求的偏离或保留从而使其投标成为实质上响应的投标。</w:t>
      </w:r>
    </w:p>
    <w:p>
      <w:pPr>
        <w:spacing w:line="360" w:lineRule="auto"/>
        <w:outlineLvl w:val="2"/>
        <w:rPr>
          <w:rFonts w:ascii="宋体" w:hAnsi="宋体" w:cs="宋体"/>
          <w:b/>
          <w:bCs/>
          <w:sz w:val="24"/>
        </w:rPr>
      </w:pPr>
      <w:bookmarkStart w:id="68" w:name="_Toc32142"/>
      <w:r>
        <w:rPr>
          <w:rFonts w:hint="eastAsia" w:ascii="宋体" w:hAnsi="宋体" w:cs="宋体"/>
          <w:b/>
          <w:bCs/>
          <w:sz w:val="24"/>
        </w:rPr>
        <w:t>27.评标办法</w:t>
      </w:r>
      <w:bookmarkEnd w:id="68"/>
    </w:p>
    <w:p>
      <w:pPr>
        <w:pStyle w:val="23"/>
        <w:adjustRightInd w:val="0"/>
        <w:snapToGrid w:val="0"/>
        <w:spacing w:before="0" w:beforeAutospacing="0" w:after="0" w:afterAutospacing="0" w:line="360" w:lineRule="auto"/>
        <w:ind w:firstLine="240" w:firstLineChars="100"/>
        <w:jc w:val="both"/>
      </w:pPr>
      <w:r>
        <w:rPr>
          <w:rFonts w:hint="eastAsia"/>
        </w:rPr>
        <w:t>评标委员会应当按照招标文件中的规定，对符合性审查合格的投标文件进行商务和技术评估，综合比较与评价。</w:t>
      </w:r>
    </w:p>
    <w:p>
      <w:pPr>
        <w:adjustRightInd w:val="0"/>
        <w:snapToGrid w:val="0"/>
        <w:spacing w:line="360" w:lineRule="auto"/>
        <w:ind w:firstLine="210" w:firstLineChars="100"/>
        <w:rPr>
          <w:rFonts w:ascii="宋体" w:hAnsi="宋体" w:cs="宋体"/>
          <w:kern w:val="0"/>
          <w:sz w:val="24"/>
        </w:rPr>
      </w:pPr>
      <w:bookmarkStart w:id="69" w:name="_Toc21644"/>
      <w:bookmarkStart w:id="70" w:name="_Toc27815"/>
      <w:bookmarkStart w:id="71" w:name="_Toc3398"/>
      <w:r>
        <w:rPr>
          <w:rFonts w:hint="eastAsia"/>
        </w:rPr>
        <w:t xml:space="preserve">27.1  </w:t>
      </w:r>
      <w:r>
        <w:rPr>
          <w:rFonts w:hint="eastAsia" w:ascii="宋体" w:hAnsi="宋体" w:cs="宋体"/>
          <w:kern w:val="0"/>
          <w:sz w:val="24"/>
        </w:rPr>
        <w:t>本项目采用最低评标价法，</w:t>
      </w:r>
      <w:bookmarkEnd w:id="69"/>
      <w:bookmarkEnd w:id="70"/>
      <w:bookmarkEnd w:id="71"/>
      <w:r>
        <w:rPr>
          <w:rFonts w:hint="eastAsia" w:ascii="宋体" w:hAnsi="宋体" w:cs="宋体"/>
          <w:kern w:val="0"/>
          <w:sz w:val="24"/>
        </w:rPr>
        <w:t>如最低报价出现并列的，则报价并列的供应商进行新一轮报价，依此类推，</w:t>
      </w:r>
      <w:r>
        <w:rPr>
          <w:rFonts w:hint="eastAsia" w:ascii="宋体" w:hAnsi="宋体" w:cs="宋体"/>
          <w:kern w:val="0"/>
          <w:sz w:val="24"/>
          <w:highlight w:val="yellow"/>
        </w:rPr>
        <w:t>直至能按报价由低到高列明第一名、第二名、第三名</w:t>
      </w:r>
      <w:r>
        <w:rPr>
          <w:rFonts w:hint="eastAsia" w:ascii="宋体" w:hAnsi="宋体" w:cs="宋体"/>
          <w:kern w:val="0"/>
          <w:sz w:val="24"/>
          <w:highlight w:val="yellow"/>
          <w:lang w:eastAsia="zh-CN"/>
        </w:rPr>
        <w:t>、</w:t>
      </w:r>
      <w:r>
        <w:rPr>
          <w:rFonts w:hint="eastAsia" w:ascii="宋体" w:hAnsi="宋体" w:cs="宋体"/>
          <w:kern w:val="0"/>
          <w:sz w:val="24"/>
          <w:highlight w:val="yellow"/>
          <w:lang w:val="en-US" w:eastAsia="zh-CN"/>
        </w:rPr>
        <w:t>第四名</w:t>
      </w:r>
      <w:r>
        <w:rPr>
          <w:rFonts w:hint="eastAsia" w:ascii="宋体" w:hAnsi="宋体" w:cs="宋体"/>
          <w:kern w:val="0"/>
          <w:sz w:val="24"/>
          <w:highlight w:val="yellow"/>
        </w:rPr>
        <w:t>顺序，并按最后一轮报价确定中标供应商。</w:t>
      </w:r>
    </w:p>
    <w:p>
      <w:pPr>
        <w:adjustRightInd w:val="0"/>
        <w:snapToGrid w:val="0"/>
        <w:spacing w:line="360" w:lineRule="auto"/>
        <w:ind w:firstLine="482" w:firstLineChars="200"/>
        <w:rPr>
          <w:rFonts w:hint="eastAsia" w:ascii="宋体" w:hAnsi="宋体" w:cs="宋体"/>
          <w:b/>
          <w:bCs/>
          <w:color w:val="FF0000"/>
          <w:sz w:val="24"/>
        </w:rPr>
      </w:pPr>
      <w:r>
        <w:rPr>
          <w:rFonts w:hint="eastAsia" w:ascii="宋体" w:hAnsi="宋体" w:cs="宋体"/>
          <w:b/>
          <w:bCs/>
          <w:color w:val="FF0000"/>
          <w:sz w:val="24"/>
        </w:rPr>
        <w:t>采购人按评审报告推荐的第一名、第二名、第三名、第四名，拟作为中标供应商（不足四家的，三家全数入围），如有中标供应商放弃中标，则选取下一候选人为中标供应商，以此类推。各个投标供应商在腾讯会议中表决，认同以第一名投标报价为结算价格的供应商在会议中表示认同并履行采购合同的相关条例，并在一个工作日内将‘确认函’发送至招标代理邮箱：1123394051@</w:t>
      </w:r>
      <w:r>
        <w:rPr>
          <w:rFonts w:hint="eastAsia" w:ascii="宋体" w:hAnsi="宋体" w:cs="宋体"/>
          <w:b/>
          <w:bCs/>
          <w:color w:val="FF0000"/>
          <w:sz w:val="24"/>
          <w:lang w:val="en-US" w:eastAsia="zh-CN"/>
        </w:rPr>
        <w:t>qq.com</w:t>
      </w:r>
      <w:r>
        <w:rPr>
          <w:rFonts w:hint="eastAsia" w:ascii="宋体" w:hAnsi="宋体" w:cs="宋体"/>
          <w:b/>
          <w:bCs/>
          <w:color w:val="FF0000"/>
          <w:sz w:val="24"/>
        </w:rPr>
        <w:t>，并将确认函原件邮寄到：盐城市响水县兴业南路与双园路交叉口西150米和通门业展示厅  盐城润威项目管理有限公司  徐慧慧  18912550728。不认同则视为放弃中标。若中标候选人中只有2-3名认同结算价格，此次采购活动正常进行并按原有的采购数量进行分配</w:t>
      </w:r>
      <w:r>
        <w:rPr>
          <w:rFonts w:hint="eastAsia" w:ascii="宋体" w:hAnsi="宋体" w:cs="宋体"/>
          <w:b/>
          <w:bCs/>
          <w:color w:val="FF0000"/>
          <w:sz w:val="24"/>
          <w:highlight w:val="cyan"/>
          <w:lang w:eastAsia="zh-CN"/>
        </w:rPr>
        <w:t>（</w:t>
      </w:r>
      <w:r>
        <w:rPr>
          <w:rFonts w:hint="eastAsia" w:ascii="宋体" w:hAnsi="宋体" w:cs="宋体"/>
          <w:b/>
          <w:bCs/>
          <w:color w:val="FF0000"/>
          <w:sz w:val="24"/>
          <w:highlight w:val="cyan"/>
          <w:lang w:val="en-US" w:eastAsia="zh-CN"/>
        </w:rPr>
        <w:t>供货顺序按评审报告推荐的排名由高到低依次供货</w:t>
      </w:r>
      <w:r>
        <w:rPr>
          <w:rFonts w:hint="eastAsia" w:ascii="宋体" w:hAnsi="宋体" w:cs="宋体"/>
          <w:b/>
          <w:bCs/>
          <w:color w:val="FF0000"/>
          <w:sz w:val="24"/>
          <w:highlight w:val="cyan"/>
          <w:lang w:eastAsia="zh-CN"/>
        </w:rPr>
        <w:t>）</w:t>
      </w:r>
      <w:r>
        <w:rPr>
          <w:rFonts w:hint="eastAsia" w:ascii="宋体" w:hAnsi="宋体" w:cs="宋体"/>
          <w:b/>
          <w:bCs/>
          <w:color w:val="FF0000"/>
          <w:sz w:val="24"/>
        </w:rPr>
        <w:t>，若中标候选人只有1名认同价格，则此次采购活动终止，择期重新采购。</w:t>
      </w:r>
    </w:p>
    <w:p>
      <w:pPr>
        <w:adjustRightInd w:val="0"/>
        <w:snapToGrid w:val="0"/>
        <w:spacing w:line="360" w:lineRule="auto"/>
        <w:ind w:firstLine="241" w:firstLineChars="100"/>
        <w:rPr>
          <w:rFonts w:ascii="宋体" w:hAnsi="宋体" w:cs="宋体"/>
          <w:b/>
          <w:bCs/>
          <w:sz w:val="24"/>
        </w:rPr>
      </w:pPr>
      <w:r>
        <w:rPr>
          <w:rFonts w:hint="eastAsia" w:ascii="宋体" w:hAnsi="宋体" w:cs="宋体"/>
          <w:b/>
          <w:bCs/>
          <w:sz w:val="24"/>
        </w:rPr>
        <w:t>备注：（1）如提供虚假材料，作无效标处理，另按相关法规予以处罚。</w:t>
      </w:r>
    </w:p>
    <w:p>
      <w:pPr>
        <w:tabs>
          <w:tab w:val="left" w:pos="790"/>
          <w:tab w:val="left" w:pos="1422"/>
          <w:tab w:val="left" w:pos="1738"/>
        </w:tabs>
        <w:adjustRightInd w:val="0"/>
        <w:snapToGrid w:val="0"/>
        <w:spacing w:line="360" w:lineRule="auto"/>
        <w:ind w:firstLine="964" w:firstLineChars="400"/>
        <w:rPr>
          <w:rFonts w:ascii="宋体" w:hAnsi="宋体" w:cs="宋体"/>
          <w:b/>
          <w:bCs/>
          <w:sz w:val="24"/>
        </w:rPr>
      </w:pPr>
      <w:r>
        <w:rPr>
          <w:rFonts w:hint="eastAsia" w:ascii="宋体" w:hAnsi="宋体" w:cs="宋体"/>
          <w:b/>
          <w:bCs/>
          <w:sz w:val="24"/>
        </w:rPr>
        <w:t>（2）如招标内容中对部分技术参数要求不详细，请各投标人在投标时详细补充说明。</w:t>
      </w:r>
    </w:p>
    <w:p>
      <w:pPr>
        <w:tabs>
          <w:tab w:val="left" w:pos="790"/>
          <w:tab w:val="left" w:pos="1422"/>
          <w:tab w:val="left" w:pos="1738"/>
        </w:tabs>
        <w:adjustRightInd w:val="0"/>
        <w:snapToGrid w:val="0"/>
        <w:spacing w:line="360" w:lineRule="auto"/>
        <w:outlineLvl w:val="2"/>
        <w:rPr>
          <w:rFonts w:ascii="宋体" w:hAnsi="宋体" w:cs="宋体"/>
          <w:b/>
          <w:bCs/>
          <w:sz w:val="24"/>
        </w:rPr>
      </w:pPr>
      <w:bookmarkStart w:id="72" w:name="_Toc15853"/>
      <w:r>
        <w:rPr>
          <w:rFonts w:hint="eastAsia" w:ascii="宋体" w:hAnsi="宋体" w:cs="宋体"/>
          <w:b/>
          <w:bCs/>
          <w:sz w:val="24"/>
        </w:rPr>
        <w:t>28.评标报告</w:t>
      </w:r>
      <w:bookmarkEnd w:id="72"/>
    </w:p>
    <w:p>
      <w:pPr>
        <w:pStyle w:val="23"/>
        <w:adjustRightInd w:val="0"/>
        <w:snapToGrid w:val="0"/>
        <w:spacing w:before="0" w:beforeAutospacing="0" w:after="0" w:afterAutospacing="0" w:line="360" w:lineRule="auto"/>
        <w:ind w:firstLine="240" w:firstLineChars="100"/>
        <w:jc w:val="both"/>
      </w:pPr>
      <w:r>
        <w:rPr>
          <w:rFonts w:hint="eastAsia"/>
        </w:rPr>
        <w:t>评标委员会根据全体评标成员签字的原始评标记录和评标结果编写评标报告。评标报告应当包括以下内容：</w:t>
      </w:r>
    </w:p>
    <w:p>
      <w:pPr>
        <w:pStyle w:val="23"/>
        <w:adjustRightInd w:val="0"/>
        <w:snapToGrid w:val="0"/>
        <w:spacing w:before="0" w:beforeAutospacing="0" w:after="0" w:afterAutospacing="0" w:line="360" w:lineRule="auto"/>
        <w:ind w:firstLine="240" w:firstLineChars="100"/>
        <w:jc w:val="both"/>
      </w:pPr>
      <w:r>
        <w:rPr>
          <w:rFonts w:hint="eastAsia"/>
        </w:rPr>
        <w:t>28.1  招标公告刊登的媒体名称、开标日期和地点；</w:t>
      </w:r>
    </w:p>
    <w:p>
      <w:pPr>
        <w:pStyle w:val="23"/>
        <w:adjustRightInd w:val="0"/>
        <w:snapToGrid w:val="0"/>
        <w:spacing w:before="0" w:beforeAutospacing="0" w:after="0" w:afterAutospacing="0" w:line="360" w:lineRule="auto"/>
        <w:ind w:firstLine="240" w:firstLineChars="100"/>
        <w:jc w:val="both"/>
      </w:pPr>
      <w:r>
        <w:rPr>
          <w:rFonts w:hint="eastAsia"/>
        </w:rPr>
        <w:t>28.2  投标人名单和评标委员会成员名单；</w:t>
      </w:r>
    </w:p>
    <w:p>
      <w:pPr>
        <w:pStyle w:val="23"/>
        <w:adjustRightInd w:val="0"/>
        <w:snapToGrid w:val="0"/>
        <w:spacing w:before="0" w:beforeAutospacing="0" w:after="0" w:afterAutospacing="0" w:line="360" w:lineRule="auto"/>
        <w:ind w:firstLine="240" w:firstLineChars="100"/>
        <w:jc w:val="both"/>
      </w:pPr>
      <w:r>
        <w:rPr>
          <w:rFonts w:hint="eastAsia"/>
        </w:rPr>
        <w:t>28.3  评标方法和标准；</w:t>
      </w:r>
    </w:p>
    <w:p>
      <w:pPr>
        <w:pStyle w:val="23"/>
        <w:adjustRightInd w:val="0"/>
        <w:snapToGrid w:val="0"/>
        <w:spacing w:before="0" w:beforeAutospacing="0" w:after="0" w:afterAutospacing="0" w:line="360" w:lineRule="auto"/>
        <w:ind w:firstLine="240" w:firstLineChars="100"/>
        <w:jc w:val="both"/>
      </w:pPr>
      <w:r>
        <w:rPr>
          <w:rFonts w:hint="eastAsia"/>
        </w:rPr>
        <w:t>28.4  开标记录和评标情况及说明，包括无效投标人名单及原因；</w:t>
      </w:r>
    </w:p>
    <w:p>
      <w:pPr>
        <w:pStyle w:val="23"/>
        <w:adjustRightInd w:val="0"/>
        <w:snapToGrid w:val="0"/>
        <w:spacing w:before="0" w:beforeAutospacing="0" w:after="0" w:afterAutospacing="0" w:line="360" w:lineRule="auto"/>
        <w:ind w:firstLine="240" w:firstLineChars="100"/>
        <w:jc w:val="both"/>
      </w:pPr>
      <w:r>
        <w:rPr>
          <w:rFonts w:hint="eastAsia"/>
        </w:rPr>
        <w:t>28.5  评标结果，确定的中标候选人名单或者经采购人委托直接确定的中标人；</w:t>
      </w:r>
    </w:p>
    <w:p>
      <w:pPr>
        <w:pStyle w:val="23"/>
        <w:adjustRightInd w:val="0"/>
        <w:snapToGrid w:val="0"/>
        <w:spacing w:before="0" w:beforeAutospacing="0" w:after="0" w:afterAutospacing="0" w:line="360" w:lineRule="auto"/>
        <w:ind w:firstLine="240" w:firstLineChars="100"/>
        <w:jc w:val="both"/>
      </w:pPr>
      <w:r>
        <w:rPr>
          <w:rFonts w:hint="eastAsia"/>
        </w:rPr>
        <w:t>28.6  其他需要说明的情况，包括评标过程中投标人根据评标委员会要求进行的澄清、说明或者补正，评标委员会成员的更换等。</w:t>
      </w:r>
    </w:p>
    <w:p>
      <w:pPr>
        <w:pStyle w:val="23"/>
        <w:adjustRightInd w:val="0"/>
        <w:snapToGrid w:val="0"/>
        <w:spacing w:before="0" w:beforeAutospacing="0" w:after="0" w:afterAutospacing="0" w:line="360" w:lineRule="auto"/>
        <w:jc w:val="both"/>
        <w:outlineLvl w:val="2"/>
        <w:rPr>
          <w:b/>
          <w:bCs/>
        </w:rPr>
      </w:pPr>
      <w:bookmarkStart w:id="73" w:name="_Toc24076"/>
      <w:r>
        <w:rPr>
          <w:rFonts w:hint="eastAsia"/>
          <w:b/>
          <w:bCs/>
        </w:rPr>
        <w:t>29.评标争议的处理</w:t>
      </w:r>
      <w:bookmarkEnd w:id="73"/>
    </w:p>
    <w:p>
      <w:pPr>
        <w:pStyle w:val="23"/>
        <w:adjustRightInd w:val="0"/>
        <w:snapToGrid w:val="0"/>
        <w:spacing w:before="0" w:beforeAutospacing="0" w:after="0" w:afterAutospacing="0" w:line="360" w:lineRule="auto"/>
        <w:ind w:firstLine="240" w:firstLineChars="100"/>
        <w:jc w:val="both"/>
      </w:pPr>
      <w:r>
        <w:rPr>
          <w:rFonts w:hint="eastAsia"/>
        </w:rPr>
        <w:t>评标委员会成员对需要共同认定的事项存在争议的，应当按照少数服从多数的原则作出结论。持不同意见的评标委员会成员应当在评标报告上签署不同意见及理由，否则视为同意评标报告。</w:t>
      </w:r>
    </w:p>
    <w:p>
      <w:pPr>
        <w:pStyle w:val="23"/>
        <w:adjustRightInd w:val="0"/>
        <w:snapToGrid w:val="0"/>
        <w:spacing w:before="0" w:beforeAutospacing="0" w:after="0" w:afterAutospacing="0" w:line="360" w:lineRule="auto"/>
        <w:jc w:val="both"/>
        <w:outlineLvl w:val="2"/>
        <w:rPr>
          <w:b/>
          <w:bCs/>
        </w:rPr>
      </w:pPr>
      <w:bookmarkStart w:id="74" w:name="_Toc30046"/>
      <w:r>
        <w:rPr>
          <w:rFonts w:hint="eastAsia"/>
          <w:b/>
          <w:bCs/>
        </w:rPr>
        <w:t>30.评标纪律</w:t>
      </w:r>
      <w:bookmarkEnd w:id="74"/>
    </w:p>
    <w:p>
      <w:pPr>
        <w:pStyle w:val="23"/>
        <w:adjustRightInd w:val="0"/>
        <w:snapToGrid w:val="0"/>
        <w:spacing w:before="0" w:beforeAutospacing="0" w:after="0" w:afterAutospacing="0" w:line="360" w:lineRule="auto"/>
        <w:ind w:firstLine="240" w:firstLineChars="100"/>
        <w:jc w:val="both"/>
      </w:pPr>
      <w:r>
        <w:rPr>
          <w:rFonts w:hint="eastAsia"/>
        </w:rPr>
        <w:t>30.1  评标委员会及其成员不得有下列行为：</w:t>
      </w:r>
    </w:p>
    <w:p>
      <w:pPr>
        <w:pStyle w:val="23"/>
        <w:adjustRightInd w:val="0"/>
        <w:snapToGrid w:val="0"/>
        <w:spacing w:before="0" w:beforeAutospacing="0" w:after="0" w:afterAutospacing="0" w:line="360" w:lineRule="auto"/>
        <w:jc w:val="both"/>
      </w:pPr>
      <w:r>
        <w:rPr>
          <w:rFonts w:hint="eastAsia"/>
        </w:rPr>
        <w:t>（1）确定参与评标至评标结束前私自接触投标人；</w:t>
      </w:r>
    </w:p>
    <w:p>
      <w:pPr>
        <w:pStyle w:val="23"/>
        <w:adjustRightInd w:val="0"/>
        <w:snapToGrid w:val="0"/>
        <w:spacing w:before="0" w:beforeAutospacing="0" w:after="0" w:afterAutospacing="0" w:line="360" w:lineRule="auto"/>
        <w:jc w:val="both"/>
      </w:pPr>
      <w:r>
        <w:rPr>
          <w:rFonts w:hint="eastAsia"/>
        </w:rPr>
        <w:t>（2）接受投标人提出的不符合规定要求的澄清或者说明；</w:t>
      </w:r>
    </w:p>
    <w:p>
      <w:pPr>
        <w:pStyle w:val="23"/>
        <w:adjustRightInd w:val="0"/>
        <w:snapToGrid w:val="0"/>
        <w:spacing w:before="0" w:beforeAutospacing="0" w:after="0" w:afterAutospacing="0" w:line="360" w:lineRule="auto"/>
        <w:jc w:val="both"/>
      </w:pPr>
      <w:r>
        <w:rPr>
          <w:rFonts w:hint="eastAsia"/>
        </w:rPr>
        <w:t>（3）违反评标纪律发表倾向性意见或者征询采购人（采购代理机构）的倾向性意见；</w:t>
      </w:r>
    </w:p>
    <w:p>
      <w:pPr>
        <w:pStyle w:val="23"/>
        <w:adjustRightInd w:val="0"/>
        <w:snapToGrid w:val="0"/>
        <w:spacing w:before="0" w:beforeAutospacing="0" w:after="0" w:afterAutospacing="0" w:line="360" w:lineRule="auto"/>
        <w:jc w:val="both"/>
      </w:pPr>
      <w:r>
        <w:rPr>
          <w:rFonts w:hint="eastAsia"/>
        </w:rPr>
        <w:t>（4）对需要专业判断的主观评审因素协商评标；</w:t>
      </w:r>
    </w:p>
    <w:p>
      <w:pPr>
        <w:pStyle w:val="23"/>
        <w:adjustRightInd w:val="0"/>
        <w:snapToGrid w:val="0"/>
        <w:spacing w:before="0" w:beforeAutospacing="0" w:after="0" w:afterAutospacing="0" w:line="360" w:lineRule="auto"/>
        <w:jc w:val="both"/>
      </w:pPr>
      <w:r>
        <w:rPr>
          <w:rFonts w:hint="eastAsia"/>
        </w:rPr>
        <w:t>（5）在评标过程中擅离职守，影响评标程序正常进行的；</w:t>
      </w:r>
    </w:p>
    <w:p>
      <w:pPr>
        <w:pStyle w:val="23"/>
        <w:adjustRightInd w:val="0"/>
        <w:snapToGrid w:val="0"/>
        <w:spacing w:before="0" w:beforeAutospacing="0" w:after="0" w:afterAutospacing="0" w:line="360" w:lineRule="auto"/>
        <w:jc w:val="both"/>
      </w:pPr>
      <w:r>
        <w:rPr>
          <w:rFonts w:hint="eastAsia"/>
        </w:rPr>
        <w:t>（6）记录、复制或者带走任何评标资料；</w:t>
      </w:r>
    </w:p>
    <w:p>
      <w:pPr>
        <w:pStyle w:val="23"/>
        <w:adjustRightInd w:val="0"/>
        <w:snapToGrid w:val="0"/>
        <w:spacing w:before="0" w:beforeAutospacing="0" w:after="0" w:afterAutospacing="0" w:line="360" w:lineRule="auto"/>
        <w:jc w:val="both"/>
      </w:pPr>
      <w:r>
        <w:rPr>
          <w:rFonts w:hint="eastAsia"/>
        </w:rPr>
        <w:t>（7）其他不遵守评标纪律的行为。</w:t>
      </w:r>
    </w:p>
    <w:p>
      <w:pPr>
        <w:pStyle w:val="23"/>
        <w:adjustRightInd w:val="0"/>
        <w:snapToGrid w:val="0"/>
        <w:spacing w:before="0" w:beforeAutospacing="0" w:after="0" w:afterAutospacing="0" w:line="360" w:lineRule="auto"/>
        <w:ind w:firstLine="240" w:firstLineChars="100"/>
        <w:jc w:val="both"/>
      </w:pPr>
      <w:r>
        <w:rPr>
          <w:rFonts w:hint="eastAsia"/>
        </w:rPr>
        <w:t>评标委员会成员有前款第一至五项行为之一的，其评审意见无效。</w:t>
      </w:r>
    </w:p>
    <w:p>
      <w:pPr>
        <w:pStyle w:val="23"/>
        <w:adjustRightInd w:val="0"/>
        <w:snapToGrid w:val="0"/>
        <w:spacing w:before="0" w:beforeAutospacing="0" w:after="0" w:afterAutospacing="0" w:line="360" w:lineRule="auto"/>
        <w:ind w:firstLine="240" w:firstLineChars="100"/>
        <w:jc w:val="both"/>
      </w:pPr>
      <w:r>
        <w:rPr>
          <w:rFonts w:hint="eastAsia"/>
        </w:rPr>
        <w:t>30.2  除采购人代表、评标现场组织人员外，采购人的其他工作人员以及与评标工作无关的人员不得进入评标现场。</w:t>
      </w:r>
    </w:p>
    <w:p>
      <w:pPr>
        <w:pStyle w:val="23"/>
        <w:adjustRightInd w:val="0"/>
        <w:snapToGrid w:val="0"/>
        <w:spacing w:before="0" w:beforeAutospacing="0" w:after="0" w:afterAutospacing="0" w:line="360" w:lineRule="auto"/>
        <w:ind w:firstLine="240" w:firstLineChars="100"/>
        <w:jc w:val="both"/>
      </w:pPr>
      <w:r>
        <w:rPr>
          <w:rFonts w:hint="eastAsia"/>
        </w:rPr>
        <w:t>30.3  有关人员对评标情况以及在评标过程中获悉的国家秘密、商业秘密负有保密责任。</w:t>
      </w:r>
    </w:p>
    <w:p>
      <w:pPr>
        <w:pStyle w:val="23"/>
        <w:adjustRightInd w:val="0"/>
        <w:snapToGrid w:val="0"/>
        <w:spacing w:before="0" w:beforeAutospacing="0" w:after="0" w:afterAutospacing="0" w:line="360" w:lineRule="auto"/>
        <w:jc w:val="both"/>
        <w:outlineLvl w:val="2"/>
        <w:rPr>
          <w:b/>
          <w:bCs/>
        </w:rPr>
      </w:pPr>
      <w:bookmarkStart w:id="75" w:name="_Toc4807"/>
      <w:r>
        <w:rPr>
          <w:rFonts w:hint="eastAsia"/>
          <w:b/>
          <w:bCs/>
        </w:rPr>
        <w:t>31.评标结果修改</w:t>
      </w:r>
      <w:bookmarkEnd w:id="75"/>
    </w:p>
    <w:p>
      <w:pPr>
        <w:pStyle w:val="23"/>
        <w:adjustRightInd w:val="0"/>
        <w:snapToGrid w:val="0"/>
        <w:spacing w:before="0" w:beforeAutospacing="0" w:after="0" w:afterAutospacing="0" w:line="360" w:lineRule="auto"/>
        <w:ind w:firstLine="240" w:firstLineChars="100"/>
        <w:jc w:val="both"/>
      </w:pPr>
      <w:r>
        <w:rPr>
          <w:rFonts w:hint="eastAsia"/>
        </w:rPr>
        <w:t>评标结果汇总完成后，除下列情形外，任何人不得修改评标结果：</w:t>
      </w:r>
    </w:p>
    <w:p>
      <w:pPr>
        <w:pStyle w:val="23"/>
        <w:adjustRightInd w:val="0"/>
        <w:snapToGrid w:val="0"/>
        <w:spacing w:before="0" w:beforeAutospacing="0" w:after="0" w:afterAutospacing="0" w:line="360" w:lineRule="auto"/>
        <w:ind w:firstLine="240" w:firstLineChars="100"/>
        <w:jc w:val="both"/>
      </w:pPr>
      <w:r>
        <w:rPr>
          <w:rFonts w:hint="eastAsia"/>
        </w:rPr>
        <w:t>31.1  汇总计算错误的；</w:t>
      </w:r>
    </w:p>
    <w:p>
      <w:pPr>
        <w:pStyle w:val="23"/>
        <w:adjustRightInd w:val="0"/>
        <w:snapToGrid w:val="0"/>
        <w:spacing w:before="0" w:beforeAutospacing="0" w:after="0" w:afterAutospacing="0" w:line="360" w:lineRule="auto"/>
        <w:ind w:firstLine="240" w:firstLineChars="100"/>
        <w:jc w:val="both"/>
      </w:pPr>
      <w:r>
        <w:rPr>
          <w:rFonts w:hint="eastAsia"/>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监督部门。</w:t>
      </w:r>
    </w:p>
    <w:p>
      <w:pPr>
        <w:pStyle w:val="23"/>
        <w:adjustRightInd w:val="0"/>
        <w:snapToGrid w:val="0"/>
        <w:spacing w:before="0" w:beforeAutospacing="0" w:after="0" w:afterAutospacing="0" w:line="360" w:lineRule="auto"/>
        <w:ind w:firstLine="240" w:firstLineChars="100"/>
        <w:jc w:val="both"/>
      </w:pPr>
      <w:r>
        <w:rPr>
          <w:rFonts w:hint="eastAsia"/>
        </w:rPr>
        <w:t>投标人对本条第一款情形提出质疑的，采购人或者采购代理机构可以组织原评标委员会进行重新评审，重新评审改变评标结果的，应当书面报告监督部门。</w:t>
      </w:r>
    </w:p>
    <w:p>
      <w:pPr>
        <w:pStyle w:val="23"/>
        <w:adjustRightInd w:val="0"/>
        <w:snapToGrid w:val="0"/>
        <w:spacing w:before="0" w:beforeAutospacing="0" w:after="0" w:afterAutospacing="0" w:line="360" w:lineRule="auto"/>
        <w:jc w:val="both"/>
        <w:outlineLvl w:val="2"/>
        <w:rPr>
          <w:b/>
          <w:bCs/>
        </w:rPr>
      </w:pPr>
      <w:bookmarkStart w:id="76" w:name="_Toc28956"/>
      <w:r>
        <w:rPr>
          <w:rFonts w:hint="eastAsia"/>
          <w:b/>
          <w:bCs/>
        </w:rPr>
        <w:t>32.停止评标和重新招标</w:t>
      </w:r>
      <w:bookmarkEnd w:id="76"/>
    </w:p>
    <w:p>
      <w:pPr>
        <w:pStyle w:val="23"/>
        <w:adjustRightInd w:val="0"/>
        <w:snapToGrid w:val="0"/>
        <w:spacing w:before="0" w:beforeAutospacing="0" w:after="0" w:afterAutospacing="0" w:line="360" w:lineRule="auto"/>
        <w:ind w:firstLine="240" w:firstLineChars="100"/>
        <w:jc w:val="both"/>
        <w:outlineLvl w:val="2"/>
      </w:pPr>
      <w:r>
        <w:rPr>
          <w:rFonts w:hint="eastAsia"/>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bookmarkStart w:id="77" w:name="_Toc20576"/>
    </w:p>
    <w:p>
      <w:pPr>
        <w:pStyle w:val="23"/>
        <w:adjustRightInd w:val="0"/>
        <w:snapToGrid w:val="0"/>
        <w:spacing w:before="0" w:beforeAutospacing="0" w:after="0" w:afterAutospacing="0" w:line="360" w:lineRule="auto"/>
        <w:jc w:val="both"/>
        <w:outlineLvl w:val="2"/>
        <w:rPr>
          <w:b/>
          <w:bCs/>
        </w:rPr>
      </w:pPr>
      <w:r>
        <w:rPr>
          <w:rFonts w:hint="eastAsia"/>
          <w:b/>
          <w:bCs/>
        </w:rPr>
        <w:t>33.重新评标</w:t>
      </w:r>
      <w:bookmarkEnd w:id="77"/>
    </w:p>
    <w:p>
      <w:pPr>
        <w:pStyle w:val="23"/>
        <w:adjustRightInd w:val="0"/>
        <w:snapToGrid w:val="0"/>
        <w:spacing w:before="0" w:beforeAutospacing="0" w:after="0" w:afterAutospacing="0" w:line="360" w:lineRule="auto"/>
        <w:ind w:firstLine="240" w:firstLineChars="100"/>
        <w:jc w:val="both"/>
      </w:pPr>
      <w:r>
        <w:rPr>
          <w:rFonts w:hint="eastAsia"/>
        </w:rPr>
        <w:t>评标委员会或者其成员存在下列情形导致评标结果无效的，采购人或者采购代理机构可以重新组建评标委员会进行评标，并书面报告监督部门，但采购合同已经履行的除外：</w:t>
      </w:r>
    </w:p>
    <w:p>
      <w:pPr>
        <w:pStyle w:val="23"/>
        <w:adjustRightInd w:val="0"/>
        <w:snapToGrid w:val="0"/>
        <w:spacing w:before="0" w:beforeAutospacing="0" w:after="0" w:afterAutospacing="0" w:line="360" w:lineRule="auto"/>
        <w:ind w:firstLine="240" w:firstLineChars="100"/>
        <w:jc w:val="both"/>
      </w:pPr>
      <w:r>
        <w:rPr>
          <w:rFonts w:hint="eastAsia"/>
        </w:rPr>
        <w:t>33.1  评标委员会组成不符合本办法规定的；</w:t>
      </w:r>
    </w:p>
    <w:p>
      <w:pPr>
        <w:pStyle w:val="23"/>
        <w:adjustRightInd w:val="0"/>
        <w:snapToGrid w:val="0"/>
        <w:spacing w:before="0" w:beforeAutospacing="0" w:after="0" w:afterAutospacing="0" w:line="360" w:lineRule="auto"/>
        <w:ind w:firstLine="240" w:firstLineChars="100"/>
        <w:jc w:val="both"/>
      </w:pPr>
      <w:r>
        <w:rPr>
          <w:rFonts w:hint="eastAsia"/>
        </w:rPr>
        <w:t>33.2  评标委员会及其成员不得有下列行为：</w:t>
      </w:r>
    </w:p>
    <w:p>
      <w:pPr>
        <w:pStyle w:val="23"/>
        <w:adjustRightInd w:val="0"/>
        <w:snapToGrid w:val="0"/>
        <w:spacing w:before="0" w:beforeAutospacing="0" w:after="0" w:afterAutospacing="0" w:line="360" w:lineRule="auto"/>
        <w:ind w:firstLine="240" w:firstLineChars="100"/>
        <w:jc w:val="both"/>
      </w:pPr>
      <w:r>
        <w:rPr>
          <w:rFonts w:hint="eastAsia"/>
        </w:rPr>
        <w:t>1）确定参与评标至评标结束前私自接触投标人；2）接受投标人提出的与投标文件不一致的澄清或者说明，本办法第五十一条规定的情形除外；3）违反评标纪律发表倾向性意见或者征询采购人的倾向性意见；4）对需要专业判断的主观评审因素协商评标；5）在评标过程中擅离职守，影响评标程序正常进行的；</w:t>
      </w:r>
    </w:p>
    <w:p>
      <w:pPr>
        <w:pStyle w:val="23"/>
        <w:adjustRightInd w:val="0"/>
        <w:snapToGrid w:val="0"/>
        <w:spacing w:before="0" w:beforeAutospacing="0" w:after="0" w:afterAutospacing="0" w:line="360" w:lineRule="auto"/>
        <w:ind w:firstLine="240" w:firstLineChars="100"/>
        <w:jc w:val="both"/>
      </w:pPr>
      <w:r>
        <w:rPr>
          <w:rFonts w:hint="eastAsia"/>
        </w:rPr>
        <w:t>33.3  评标委员会及其成员独立评标受到非法干预的；</w:t>
      </w:r>
    </w:p>
    <w:p>
      <w:pPr>
        <w:pStyle w:val="23"/>
        <w:adjustRightInd w:val="0"/>
        <w:snapToGrid w:val="0"/>
        <w:spacing w:before="0" w:beforeAutospacing="0" w:after="0" w:afterAutospacing="0" w:line="360" w:lineRule="auto"/>
        <w:ind w:firstLine="240" w:firstLineChars="100"/>
        <w:jc w:val="both"/>
      </w:pPr>
      <w:r>
        <w:rPr>
          <w:rFonts w:hint="eastAsia"/>
        </w:rPr>
        <w:t>33.4  采购人未依法公布采购项目的采购标准和采购结果的，责令改正。</w:t>
      </w:r>
    </w:p>
    <w:p>
      <w:pPr>
        <w:pStyle w:val="23"/>
        <w:adjustRightInd w:val="0"/>
        <w:snapToGrid w:val="0"/>
        <w:spacing w:before="0" w:beforeAutospacing="0" w:after="0" w:afterAutospacing="0" w:line="360" w:lineRule="auto"/>
        <w:ind w:firstLine="240" w:firstLineChars="100"/>
        <w:jc w:val="both"/>
      </w:pPr>
      <w:r>
        <w:rPr>
          <w:rFonts w:hint="eastAsia"/>
        </w:rPr>
        <w:t>有违法违规行为的原评标委员会成员不得参加重新组建的评标委员会。</w:t>
      </w:r>
    </w:p>
    <w:p>
      <w:pPr>
        <w:spacing w:line="360" w:lineRule="auto"/>
        <w:outlineLvl w:val="2"/>
        <w:rPr>
          <w:rFonts w:ascii="宋体" w:hAnsi="宋体" w:cs="宋体"/>
          <w:b/>
          <w:bCs/>
          <w:sz w:val="24"/>
        </w:rPr>
      </w:pPr>
      <w:bookmarkStart w:id="78" w:name="_Toc10745"/>
      <w:r>
        <w:rPr>
          <w:rFonts w:hint="eastAsia" w:ascii="宋体" w:hAnsi="宋体" w:cs="宋体"/>
          <w:b/>
          <w:bCs/>
          <w:sz w:val="24"/>
        </w:rPr>
        <w:t>34.投标纪律</w:t>
      </w:r>
      <w:bookmarkEnd w:id="78"/>
    </w:p>
    <w:p>
      <w:pPr>
        <w:spacing w:line="360" w:lineRule="auto"/>
        <w:ind w:firstLine="240" w:firstLineChars="100"/>
        <w:rPr>
          <w:rFonts w:ascii="宋体" w:hAnsi="宋体" w:cs="宋体"/>
          <w:b/>
          <w:bCs/>
          <w:sz w:val="24"/>
        </w:rPr>
      </w:pPr>
      <w:r>
        <w:rPr>
          <w:rFonts w:hint="eastAsia" w:ascii="宋体" w:hAnsi="宋体" w:cs="宋体"/>
          <w:sz w:val="24"/>
        </w:rPr>
        <w:t>投标人应遵守招标投标活动相关规定，在评标期间，投标人试图影响采购人或采购代理机构和评标委员会的任何活动，将导致其投标被拒绝，并承担相应的法律责任。</w:t>
      </w:r>
    </w:p>
    <w:p>
      <w:pPr>
        <w:spacing w:line="360" w:lineRule="auto"/>
        <w:ind w:firstLine="301"/>
        <w:jc w:val="center"/>
        <w:outlineLvl w:val="1"/>
        <w:rPr>
          <w:rFonts w:ascii="宋体" w:hAnsi="宋体" w:cs="宋体"/>
          <w:b/>
          <w:bCs/>
          <w:sz w:val="30"/>
          <w:szCs w:val="30"/>
        </w:rPr>
      </w:pPr>
      <w:bookmarkStart w:id="79" w:name="_Toc15228"/>
      <w:bookmarkStart w:id="80" w:name="_Toc24850"/>
      <w:r>
        <w:rPr>
          <w:rFonts w:hint="eastAsia" w:ascii="宋体" w:hAnsi="宋体" w:cs="宋体"/>
          <w:b/>
          <w:bCs/>
          <w:sz w:val="30"/>
          <w:szCs w:val="30"/>
        </w:rPr>
        <w:t>八、中标和合同</w:t>
      </w:r>
      <w:bookmarkEnd w:id="79"/>
      <w:bookmarkEnd w:id="80"/>
    </w:p>
    <w:p>
      <w:pPr>
        <w:spacing w:line="360" w:lineRule="auto"/>
        <w:outlineLvl w:val="2"/>
        <w:rPr>
          <w:rFonts w:ascii="宋体" w:hAnsi="宋体" w:cs="宋体"/>
          <w:b/>
          <w:bCs/>
          <w:sz w:val="24"/>
        </w:rPr>
      </w:pPr>
      <w:bookmarkStart w:id="81" w:name="_Toc16937"/>
      <w:r>
        <w:rPr>
          <w:rFonts w:hint="eastAsia" w:ascii="宋体" w:hAnsi="宋体" w:cs="宋体"/>
          <w:b/>
          <w:bCs/>
          <w:sz w:val="24"/>
        </w:rPr>
        <w:t>35.公告中标结果</w:t>
      </w:r>
      <w:bookmarkEnd w:id="81"/>
    </w:p>
    <w:p>
      <w:pPr>
        <w:pStyle w:val="23"/>
        <w:adjustRightInd w:val="0"/>
        <w:snapToGrid w:val="0"/>
        <w:spacing w:before="0" w:beforeAutospacing="0" w:after="0" w:afterAutospacing="0" w:line="360" w:lineRule="auto"/>
        <w:ind w:firstLine="240" w:firstLineChars="100"/>
        <w:jc w:val="both"/>
      </w:pPr>
      <w:r>
        <w:rPr>
          <w:rFonts w:hint="eastAsia"/>
        </w:rPr>
        <w:t>35.1  采购人或者采购代理机构应当自中标人确定之日起2个工作日内，在“响水县人民政府网-招投标信息(http://www.xiangshui.gov.cn/col/col34033/index.html)-国企采购-招标公告栏”公告中标结果。</w:t>
      </w:r>
    </w:p>
    <w:p>
      <w:pPr>
        <w:pStyle w:val="23"/>
        <w:adjustRightInd w:val="0"/>
        <w:snapToGrid w:val="0"/>
        <w:spacing w:before="0" w:beforeAutospacing="0" w:after="0" w:afterAutospacing="0" w:line="360" w:lineRule="auto"/>
        <w:ind w:firstLine="240" w:firstLineChars="100"/>
        <w:jc w:val="both"/>
      </w:pPr>
      <w:r>
        <w:rPr>
          <w:rFonts w:hint="eastAsia"/>
        </w:rPr>
        <w:t>35.2  中标公告期限为1个工作日。</w:t>
      </w:r>
    </w:p>
    <w:p>
      <w:pPr>
        <w:pStyle w:val="23"/>
        <w:adjustRightInd w:val="0"/>
        <w:snapToGrid w:val="0"/>
        <w:spacing w:before="0" w:beforeAutospacing="0" w:after="0" w:afterAutospacing="0" w:line="360" w:lineRule="auto"/>
        <w:ind w:firstLine="240" w:firstLineChars="100"/>
        <w:jc w:val="both"/>
      </w:pPr>
      <w:r>
        <w:rPr>
          <w:rFonts w:hint="eastAsia"/>
        </w:rPr>
        <w:t>35.3  若有充分证据证明，中标人出现下列情况之一的，一经查实，将被取消中标资格：</w:t>
      </w:r>
    </w:p>
    <w:p>
      <w:pPr>
        <w:pStyle w:val="23"/>
        <w:adjustRightInd w:val="0"/>
        <w:snapToGrid w:val="0"/>
        <w:spacing w:before="0" w:beforeAutospacing="0" w:after="0" w:afterAutospacing="0" w:line="360" w:lineRule="auto"/>
        <w:ind w:firstLine="240" w:firstLineChars="100"/>
        <w:jc w:val="both"/>
      </w:pPr>
      <w:r>
        <w:rPr>
          <w:rFonts w:hint="eastAsia"/>
        </w:rPr>
        <w:t>（1）提供虚假材料谋取成交的；</w:t>
      </w:r>
    </w:p>
    <w:p>
      <w:pPr>
        <w:pStyle w:val="23"/>
        <w:adjustRightInd w:val="0"/>
        <w:snapToGrid w:val="0"/>
        <w:spacing w:before="0" w:beforeAutospacing="0" w:after="0" w:afterAutospacing="0" w:line="360" w:lineRule="auto"/>
        <w:ind w:firstLine="240" w:firstLineChars="100"/>
        <w:jc w:val="both"/>
      </w:pPr>
      <w:r>
        <w:rPr>
          <w:rFonts w:hint="eastAsia"/>
        </w:rPr>
        <w:t>（2）与评审专家、采购人、其他投标人或者代理机构工作人员恶意串通的；</w:t>
      </w:r>
    </w:p>
    <w:p>
      <w:pPr>
        <w:pStyle w:val="23"/>
        <w:adjustRightInd w:val="0"/>
        <w:snapToGrid w:val="0"/>
        <w:spacing w:before="0" w:beforeAutospacing="0" w:after="0" w:afterAutospacing="0" w:line="360" w:lineRule="auto"/>
        <w:ind w:firstLine="240" w:firstLineChars="100"/>
        <w:jc w:val="both"/>
      </w:pPr>
      <w:r>
        <w:rPr>
          <w:rFonts w:hint="eastAsia"/>
        </w:rPr>
        <w:t>（3）向评审专家、采购人或代理机构工作人员行贿或者提供其他不正当利益的；</w:t>
      </w:r>
    </w:p>
    <w:p>
      <w:pPr>
        <w:pStyle w:val="23"/>
        <w:adjustRightInd w:val="0"/>
        <w:snapToGrid w:val="0"/>
        <w:spacing w:before="0" w:beforeAutospacing="0" w:after="0" w:afterAutospacing="0" w:line="360" w:lineRule="auto"/>
        <w:ind w:firstLine="240" w:firstLineChars="100"/>
        <w:jc w:val="both"/>
      </w:pPr>
      <w:r>
        <w:rPr>
          <w:rFonts w:hint="eastAsia"/>
        </w:rPr>
        <w:t>（4）恶意竞争，报价明显低于其自身合理成本且又无法提供证明的；</w:t>
      </w:r>
    </w:p>
    <w:p>
      <w:pPr>
        <w:pStyle w:val="23"/>
        <w:adjustRightInd w:val="0"/>
        <w:snapToGrid w:val="0"/>
        <w:spacing w:before="0" w:beforeAutospacing="0" w:after="0" w:afterAutospacing="0" w:line="360" w:lineRule="auto"/>
        <w:ind w:firstLine="240" w:firstLineChars="100"/>
        <w:jc w:val="both"/>
      </w:pPr>
      <w:r>
        <w:rPr>
          <w:rFonts w:hint="eastAsia"/>
        </w:rPr>
        <w:t>（5）中标后无正当理由拒不与采购人签订采购合同或者未按照招标文件确定的事项签订采购合同；</w:t>
      </w:r>
    </w:p>
    <w:p>
      <w:pPr>
        <w:pStyle w:val="23"/>
        <w:adjustRightInd w:val="0"/>
        <w:snapToGrid w:val="0"/>
        <w:spacing w:before="0" w:beforeAutospacing="0" w:after="0" w:afterAutospacing="0" w:line="360" w:lineRule="auto"/>
        <w:ind w:firstLine="240" w:firstLineChars="100"/>
        <w:jc w:val="both"/>
      </w:pPr>
      <w:r>
        <w:rPr>
          <w:rFonts w:hint="eastAsia"/>
        </w:rPr>
        <w:t>（6）将采购合同转包；</w:t>
      </w:r>
    </w:p>
    <w:p>
      <w:pPr>
        <w:pStyle w:val="23"/>
        <w:adjustRightInd w:val="0"/>
        <w:snapToGrid w:val="0"/>
        <w:spacing w:before="0" w:beforeAutospacing="0" w:after="0" w:afterAutospacing="0" w:line="360" w:lineRule="auto"/>
        <w:ind w:firstLine="240" w:firstLineChars="100"/>
        <w:jc w:val="both"/>
        <w:outlineLvl w:val="2"/>
      </w:pPr>
      <w:r>
        <w:rPr>
          <w:rFonts w:hint="eastAsia"/>
        </w:rPr>
        <w:t>（7）法律、法规、规章规定的属于成交无效的其他情形。</w:t>
      </w:r>
      <w:bookmarkStart w:id="82" w:name="_Toc12962"/>
    </w:p>
    <w:p>
      <w:pPr>
        <w:pStyle w:val="23"/>
        <w:adjustRightInd w:val="0"/>
        <w:snapToGrid w:val="0"/>
        <w:spacing w:before="0" w:beforeAutospacing="0" w:after="0" w:afterAutospacing="0" w:line="360" w:lineRule="auto"/>
        <w:jc w:val="both"/>
        <w:outlineLvl w:val="2"/>
        <w:rPr>
          <w:b/>
          <w:bCs/>
        </w:rPr>
      </w:pPr>
      <w:r>
        <w:rPr>
          <w:rFonts w:hint="eastAsia"/>
          <w:b/>
          <w:bCs/>
        </w:rPr>
        <w:t>36.中标通知书</w:t>
      </w:r>
      <w:bookmarkEnd w:id="82"/>
    </w:p>
    <w:p>
      <w:pPr>
        <w:pStyle w:val="23"/>
        <w:adjustRightInd w:val="0"/>
        <w:snapToGrid w:val="0"/>
        <w:spacing w:before="0" w:beforeAutospacing="0" w:after="0" w:afterAutospacing="0" w:line="360" w:lineRule="auto"/>
        <w:ind w:firstLine="240" w:firstLineChars="100"/>
        <w:jc w:val="both"/>
        <w:rPr>
          <w:i/>
          <w:iCs/>
        </w:rPr>
      </w:pPr>
      <w:r>
        <w:rPr>
          <w:rFonts w:hint="eastAsia"/>
        </w:rPr>
        <w:t>公告中标结果结束无质疑（投诉）或者对质疑（投诉）事项处理结束中标人确定后，采购人或者采购代理机构应当向中标人发出中标通知书；对未通过资格审查的投标人，应当告知其未通过的原因。</w:t>
      </w:r>
    </w:p>
    <w:p>
      <w:pPr>
        <w:pStyle w:val="23"/>
        <w:adjustRightInd w:val="0"/>
        <w:snapToGrid w:val="0"/>
        <w:spacing w:before="0" w:beforeAutospacing="0" w:after="0" w:afterAutospacing="0" w:line="360" w:lineRule="auto"/>
        <w:jc w:val="both"/>
        <w:outlineLvl w:val="2"/>
        <w:rPr>
          <w:b/>
          <w:bCs/>
        </w:rPr>
      </w:pPr>
      <w:bookmarkStart w:id="83" w:name="_Toc31528"/>
      <w:r>
        <w:rPr>
          <w:rFonts w:hint="eastAsia"/>
          <w:b/>
          <w:bCs/>
        </w:rPr>
        <w:t>37.项目合同</w:t>
      </w:r>
      <w:bookmarkEnd w:id="83"/>
    </w:p>
    <w:p>
      <w:pPr>
        <w:pStyle w:val="23"/>
        <w:adjustRightInd w:val="0"/>
        <w:snapToGrid w:val="0"/>
        <w:spacing w:before="0" w:beforeAutospacing="0" w:after="0" w:afterAutospacing="0" w:line="360" w:lineRule="auto"/>
        <w:ind w:firstLine="240" w:firstLineChars="100"/>
        <w:jc w:val="both"/>
      </w:pPr>
      <w:r>
        <w:rPr>
          <w:rFonts w:hint="eastAsia"/>
        </w:rPr>
        <w:t>37.1  中标通知书发出后，采购人不得违法改变中标结果，中标人无正当理由不得放弃中标。</w:t>
      </w:r>
    </w:p>
    <w:p>
      <w:pPr>
        <w:pStyle w:val="23"/>
        <w:adjustRightInd w:val="0"/>
        <w:snapToGrid w:val="0"/>
        <w:spacing w:before="0" w:beforeAutospacing="0" w:after="0" w:afterAutospacing="0" w:line="360" w:lineRule="auto"/>
        <w:ind w:firstLine="240" w:firstLineChars="100"/>
        <w:jc w:val="both"/>
      </w:pPr>
      <w:r>
        <w:rPr>
          <w:rFonts w:hint="eastAsia"/>
        </w:rPr>
        <w:t>37.2  采购人应当自中标通知书发出之日起30日内，按照招标文件和中标人投标文件的规定，与中标人签订书面合同。所签订的合同不得对招标文件确定的事项和中标人投标文件作实质性修改。</w:t>
      </w:r>
    </w:p>
    <w:p>
      <w:pPr>
        <w:pStyle w:val="23"/>
        <w:adjustRightInd w:val="0"/>
        <w:snapToGrid w:val="0"/>
        <w:spacing w:before="0" w:beforeAutospacing="0" w:after="0" w:afterAutospacing="0" w:line="360" w:lineRule="auto"/>
        <w:ind w:firstLine="240" w:firstLineChars="100"/>
        <w:jc w:val="both"/>
      </w:pPr>
      <w:r>
        <w:rPr>
          <w:rFonts w:hint="eastAsia"/>
        </w:rPr>
        <w:t>采购人不得向中标人提出任何不合理的要求作为签订合同的条件。</w:t>
      </w:r>
    </w:p>
    <w:p>
      <w:pPr>
        <w:widowControl/>
        <w:spacing w:line="360" w:lineRule="auto"/>
        <w:rPr>
          <w:rFonts w:ascii="宋体" w:hAnsi="宋体" w:cs="宋体"/>
          <w:kern w:val="0"/>
          <w:sz w:val="24"/>
        </w:rPr>
      </w:pPr>
      <w:r>
        <w:rPr>
          <w:rFonts w:hint="eastAsia" w:ascii="宋体" w:hAnsi="宋体" w:cs="宋体"/>
          <w:b/>
          <w:sz w:val="24"/>
        </w:rPr>
        <w:t>38.</w:t>
      </w:r>
      <w:r>
        <w:rPr>
          <w:rFonts w:hint="eastAsia" w:ascii="宋体" w:hAnsi="宋体" w:cs="宋体"/>
          <w:kern w:val="0"/>
          <w:sz w:val="24"/>
        </w:rPr>
        <w:t>签订合同</w:t>
      </w:r>
    </w:p>
    <w:p>
      <w:pPr>
        <w:widowControl/>
        <w:spacing w:line="360" w:lineRule="auto"/>
        <w:ind w:firstLine="241" w:firstLineChars="100"/>
        <w:rPr>
          <w:rFonts w:ascii="宋体" w:hAnsi="宋体" w:cs="宋体"/>
          <w:kern w:val="0"/>
          <w:sz w:val="24"/>
        </w:rPr>
      </w:pPr>
      <w:r>
        <w:rPr>
          <w:rFonts w:hint="eastAsia" w:ascii="宋体" w:hAnsi="宋体" w:cs="宋体"/>
          <w:b/>
          <w:sz w:val="24"/>
        </w:rPr>
        <w:t>38.</w:t>
      </w:r>
      <w:r>
        <w:rPr>
          <w:rFonts w:hint="eastAsia" w:ascii="宋体" w:hAnsi="宋体" w:cs="宋体"/>
          <w:kern w:val="0"/>
          <w:sz w:val="24"/>
        </w:rPr>
        <w:t>1签订合同</w:t>
      </w:r>
    </w:p>
    <w:p>
      <w:pPr>
        <w:widowControl/>
        <w:spacing w:line="360" w:lineRule="auto"/>
        <w:ind w:firstLine="241" w:firstLineChars="100"/>
        <w:rPr>
          <w:rFonts w:ascii="宋体" w:hAnsi="宋体" w:cs="宋体"/>
          <w:kern w:val="0"/>
          <w:sz w:val="24"/>
        </w:rPr>
      </w:pPr>
      <w:r>
        <w:rPr>
          <w:rFonts w:hint="eastAsia" w:ascii="宋体" w:hAnsi="宋体" w:cs="宋体"/>
          <w:b/>
          <w:sz w:val="24"/>
        </w:rPr>
        <w:t>38.</w:t>
      </w:r>
      <w:r>
        <w:rPr>
          <w:rFonts w:hint="eastAsia" w:ascii="宋体" w:hAnsi="宋体" w:cs="宋体"/>
          <w:kern w:val="0"/>
          <w:sz w:val="24"/>
        </w:rPr>
        <w:t>2中标人收到《中标通知书》后，按《中标通知书》中规定的时间、地点与买方签订合同。</w:t>
      </w:r>
    </w:p>
    <w:p>
      <w:pPr>
        <w:widowControl/>
        <w:spacing w:line="360" w:lineRule="auto"/>
        <w:ind w:firstLine="241" w:firstLineChars="100"/>
        <w:rPr>
          <w:rFonts w:ascii="宋体" w:hAnsi="宋体" w:cs="宋体"/>
          <w:kern w:val="0"/>
          <w:sz w:val="24"/>
        </w:rPr>
      </w:pPr>
      <w:r>
        <w:rPr>
          <w:rFonts w:hint="eastAsia" w:ascii="宋体" w:hAnsi="宋体" w:cs="宋体"/>
          <w:b/>
          <w:sz w:val="24"/>
        </w:rPr>
        <w:t>38.</w:t>
      </w:r>
      <w:r>
        <w:rPr>
          <w:rFonts w:hint="eastAsia" w:ascii="宋体" w:hAnsi="宋体" w:cs="宋体"/>
          <w:kern w:val="0"/>
          <w:sz w:val="24"/>
        </w:rPr>
        <w:t>3买卖双方共同承认的招标文件、投标文件及评标过程中形成的书面文件均作为签订合同的依据。</w:t>
      </w:r>
    </w:p>
    <w:p>
      <w:pPr>
        <w:widowControl/>
        <w:spacing w:line="360" w:lineRule="auto"/>
        <w:ind w:firstLine="241" w:firstLineChars="100"/>
        <w:rPr>
          <w:rFonts w:ascii="宋体" w:hAnsi="宋体" w:cs="宋体"/>
          <w:kern w:val="0"/>
          <w:sz w:val="24"/>
        </w:rPr>
      </w:pPr>
      <w:r>
        <w:rPr>
          <w:rFonts w:hint="eastAsia" w:ascii="宋体" w:hAnsi="宋体" w:cs="宋体"/>
          <w:b/>
          <w:sz w:val="24"/>
        </w:rPr>
        <w:t>38.</w:t>
      </w:r>
      <w:r>
        <w:rPr>
          <w:rFonts w:hint="eastAsia" w:ascii="宋体" w:hAnsi="宋体" w:cs="宋体"/>
          <w:kern w:val="0"/>
          <w:sz w:val="24"/>
        </w:rPr>
        <w:t>4中标人违约</w:t>
      </w:r>
    </w:p>
    <w:p>
      <w:pPr>
        <w:widowControl/>
        <w:spacing w:line="360" w:lineRule="auto"/>
        <w:ind w:left="61" w:leftChars="29" w:firstLine="240" w:firstLineChars="100"/>
        <w:rPr>
          <w:rFonts w:ascii="宋体" w:hAnsi="宋体" w:cs="宋体"/>
          <w:kern w:val="0"/>
          <w:sz w:val="24"/>
        </w:rPr>
      </w:pPr>
      <w:r>
        <w:rPr>
          <w:rFonts w:hint="eastAsia" w:ascii="宋体" w:hAnsi="宋体" w:cs="宋体"/>
          <w:kern w:val="0"/>
          <w:sz w:val="24"/>
        </w:rPr>
        <w:t>如中标人违约，没收投标保证金。招标人可从中标候选人中重新选定中标单位，组织供需双方签订经济合同。</w:t>
      </w:r>
    </w:p>
    <w:p>
      <w:pPr>
        <w:widowControl/>
        <w:spacing w:line="360" w:lineRule="auto"/>
        <w:ind w:left="61" w:leftChars="29" w:firstLine="241" w:firstLineChars="100"/>
      </w:pPr>
      <w:r>
        <w:rPr>
          <w:rFonts w:hint="eastAsia" w:ascii="宋体" w:hAnsi="宋体" w:cs="宋体"/>
          <w:b/>
          <w:sz w:val="24"/>
        </w:rPr>
        <w:t>38.</w:t>
      </w:r>
      <w:r>
        <w:rPr>
          <w:rFonts w:hint="eastAsia" w:ascii="宋体" w:hAnsi="宋体"/>
          <w:sz w:val="24"/>
        </w:rPr>
        <w:t>5投标方未中标的，投标保证金在招标结果公布后无息退还；中标方必须缴纳合同履约金，中标方的投标保证金转为合同履约金。</w:t>
      </w:r>
    </w:p>
    <w:p>
      <w:pPr>
        <w:snapToGrid w:val="0"/>
        <w:spacing w:line="360" w:lineRule="auto"/>
        <w:outlineLvl w:val="2"/>
        <w:rPr>
          <w:rFonts w:ascii="宋体" w:hAnsi="宋体" w:cs="宋体"/>
          <w:b/>
          <w:sz w:val="24"/>
        </w:rPr>
      </w:pPr>
      <w:bookmarkStart w:id="84" w:name="_Toc3910"/>
      <w:r>
        <w:rPr>
          <w:rFonts w:hint="eastAsia" w:ascii="宋体" w:hAnsi="宋体" w:cs="宋体"/>
          <w:b/>
          <w:sz w:val="24"/>
        </w:rPr>
        <w:t>39.质疑处理</w:t>
      </w:r>
      <w:bookmarkEnd w:id="84"/>
    </w:p>
    <w:p>
      <w:pPr>
        <w:snapToGrid w:val="0"/>
        <w:spacing w:line="360" w:lineRule="auto"/>
        <w:ind w:firstLine="240" w:firstLineChars="100"/>
        <w:rPr>
          <w:rFonts w:ascii="宋体" w:hAnsi="宋体" w:cs="宋体"/>
          <w:bCs/>
          <w:sz w:val="24"/>
        </w:rPr>
      </w:pPr>
      <w:r>
        <w:rPr>
          <w:rFonts w:hint="eastAsia" w:ascii="宋体" w:hAnsi="宋体" w:cs="宋体"/>
          <w:bCs/>
          <w:sz w:val="24"/>
        </w:rPr>
        <w:t>39.1  对质疑事项，投标人应按采购法及其条例等法律法规规定进行。</w:t>
      </w:r>
    </w:p>
    <w:p>
      <w:pPr>
        <w:snapToGrid w:val="0"/>
        <w:spacing w:line="360" w:lineRule="auto"/>
        <w:ind w:firstLine="240" w:firstLineChars="100"/>
        <w:rPr>
          <w:rFonts w:ascii="宋体" w:hAnsi="宋体" w:cs="宋体"/>
          <w:bCs/>
          <w:sz w:val="24"/>
        </w:rPr>
      </w:pPr>
      <w:r>
        <w:rPr>
          <w:rFonts w:hint="eastAsia" w:ascii="宋体" w:hAnsi="宋体" w:cs="宋体"/>
          <w:bCs/>
          <w:sz w:val="24"/>
        </w:rPr>
        <w:t>39.2  参加投标供应商认为采购文件、采购过程和成交结果使自己的权益受到损害的，须在法定期限内向采购人或采购代理机构提出，对于不影响公平竞争的问题采购人将作出答复。质疑须以书面送达形式向采购人提出。非书面送达形式、逾期提交以及匿名的质疑将不予受理。已参加开标的供应商不得就采购文件内容提出质疑。</w:t>
      </w:r>
    </w:p>
    <w:p>
      <w:pPr>
        <w:snapToGrid w:val="0"/>
        <w:spacing w:line="360" w:lineRule="auto"/>
        <w:ind w:firstLine="240" w:firstLineChars="100"/>
        <w:rPr>
          <w:rFonts w:ascii="宋体" w:hAnsi="宋体" w:cs="宋体"/>
          <w:bCs/>
          <w:sz w:val="24"/>
        </w:rPr>
      </w:pPr>
      <w:r>
        <w:rPr>
          <w:rFonts w:hint="eastAsia" w:ascii="宋体" w:hAnsi="宋体" w:cs="宋体"/>
          <w:bCs/>
          <w:sz w:val="24"/>
        </w:rPr>
        <w:t>供应商认为采购文件、采购过程、成交结果使自己的权益受到损害的，应当在法定质疑期内一次性提出针对同一采购程序环节的质疑。两次或多次对同一采购程序环节提出的质疑，采购人、采购代理机构将拒收。</w:t>
      </w:r>
    </w:p>
    <w:p>
      <w:pPr>
        <w:snapToGrid w:val="0"/>
        <w:spacing w:line="360" w:lineRule="auto"/>
        <w:ind w:firstLine="240" w:firstLineChars="100"/>
        <w:rPr>
          <w:rFonts w:ascii="宋体" w:hAnsi="宋体" w:cs="宋体"/>
          <w:bCs/>
          <w:sz w:val="24"/>
        </w:rPr>
      </w:pPr>
      <w:r>
        <w:rPr>
          <w:rFonts w:hint="eastAsia" w:ascii="宋体" w:hAnsi="宋体" w:cs="宋体"/>
          <w:bCs/>
          <w:sz w:val="24"/>
        </w:rPr>
        <w:t>39.3  质疑必须有参加投标供应商法定代表人（负责人）或授权代表（投标文件中所确定的）签字，并加盖投标人公章，以书面送达的方式提交。未按上述要求提交的质疑函（含传真、电子邮件等非书面送达方式）采购人有权不予受理。</w:t>
      </w:r>
    </w:p>
    <w:p>
      <w:pPr>
        <w:snapToGrid w:val="0"/>
        <w:spacing w:line="360" w:lineRule="auto"/>
        <w:ind w:firstLine="240" w:firstLineChars="100"/>
        <w:rPr>
          <w:rFonts w:ascii="宋体" w:hAnsi="宋体" w:cs="宋体"/>
          <w:bCs/>
          <w:sz w:val="24"/>
        </w:rPr>
      </w:pPr>
      <w:r>
        <w:rPr>
          <w:rFonts w:hint="eastAsia" w:ascii="宋体" w:hAnsi="宋体" w:cs="宋体"/>
          <w:bCs/>
          <w:sz w:val="24"/>
        </w:rPr>
        <w:t>39.4  未参加投标的供应商（未报名或未参加投标）或在投标活动中本身权益未受到损害或从投标活动中受益的供应商所提出的质疑也不予受理。</w:t>
      </w:r>
    </w:p>
    <w:p>
      <w:pPr>
        <w:snapToGrid w:val="0"/>
        <w:spacing w:line="360" w:lineRule="auto"/>
        <w:ind w:firstLine="240" w:firstLineChars="100"/>
        <w:rPr>
          <w:rFonts w:ascii="宋体" w:hAnsi="宋体" w:cs="宋体"/>
          <w:bCs/>
          <w:sz w:val="24"/>
        </w:rPr>
      </w:pPr>
      <w:r>
        <w:rPr>
          <w:rFonts w:hint="eastAsia" w:ascii="宋体" w:hAnsi="宋体" w:cs="宋体"/>
          <w:bCs/>
          <w:sz w:val="24"/>
        </w:rPr>
        <w:t>39.5  供应商提出质疑，应当采取书面送达形式，在法定时间内向采购人提交质疑函，质疑函应当包括下列内容：</w:t>
      </w:r>
    </w:p>
    <w:p>
      <w:pPr>
        <w:snapToGrid w:val="0"/>
        <w:spacing w:line="360" w:lineRule="auto"/>
        <w:ind w:firstLine="240" w:firstLineChars="100"/>
        <w:rPr>
          <w:rFonts w:ascii="宋体" w:hAnsi="宋体" w:cs="宋体"/>
          <w:bCs/>
          <w:sz w:val="24"/>
        </w:rPr>
      </w:pPr>
      <w:r>
        <w:rPr>
          <w:rFonts w:hint="eastAsia" w:ascii="宋体" w:hAnsi="宋体" w:cs="宋体"/>
          <w:bCs/>
          <w:sz w:val="24"/>
        </w:rPr>
        <w:t>（一）质疑供应商的名称、地址、邮编、联系人、联系电话；</w:t>
      </w:r>
    </w:p>
    <w:p>
      <w:pPr>
        <w:snapToGrid w:val="0"/>
        <w:spacing w:line="360" w:lineRule="auto"/>
        <w:ind w:firstLine="240" w:firstLineChars="100"/>
        <w:rPr>
          <w:rFonts w:ascii="宋体" w:hAnsi="宋体" w:cs="宋体"/>
          <w:bCs/>
          <w:sz w:val="24"/>
        </w:rPr>
      </w:pPr>
      <w:r>
        <w:rPr>
          <w:rFonts w:hint="eastAsia" w:ascii="宋体" w:hAnsi="宋体" w:cs="宋体"/>
          <w:bCs/>
          <w:sz w:val="24"/>
        </w:rPr>
        <w:t>（二）具体的质疑事项及事实根据；</w:t>
      </w:r>
    </w:p>
    <w:p>
      <w:pPr>
        <w:snapToGrid w:val="0"/>
        <w:spacing w:line="360" w:lineRule="auto"/>
        <w:ind w:firstLine="240" w:firstLineChars="100"/>
        <w:rPr>
          <w:rFonts w:ascii="宋体" w:hAnsi="宋体" w:cs="宋体"/>
          <w:bCs/>
          <w:sz w:val="24"/>
        </w:rPr>
      </w:pPr>
      <w:r>
        <w:rPr>
          <w:rFonts w:hint="eastAsia" w:ascii="宋体" w:hAnsi="宋体" w:cs="宋体"/>
          <w:bCs/>
          <w:sz w:val="24"/>
        </w:rPr>
        <w:t>（三）认为自己合法权益受到损害或可能受到损害的相关证据材料；</w:t>
      </w:r>
    </w:p>
    <w:p>
      <w:pPr>
        <w:snapToGrid w:val="0"/>
        <w:spacing w:line="360" w:lineRule="auto"/>
        <w:ind w:firstLine="240" w:firstLineChars="100"/>
        <w:rPr>
          <w:rFonts w:ascii="宋体" w:hAnsi="宋体" w:cs="宋体"/>
          <w:bCs/>
          <w:sz w:val="24"/>
        </w:rPr>
      </w:pPr>
      <w:r>
        <w:rPr>
          <w:rFonts w:hint="eastAsia" w:ascii="宋体" w:hAnsi="宋体" w:cs="宋体"/>
          <w:bCs/>
          <w:sz w:val="24"/>
        </w:rPr>
        <w:t>（四）提起质疑的日期；</w:t>
      </w:r>
    </w:p>
    <w:p>
      <w:pPr>
        <w:snapToGrid w:val="0"/>
        <w:spacing w:line="360" w:lineRule="auto"/>
        <w:ind w:firstLine="240" w:firstLineChars="100"/>
        <w:rPr>
          <w:rFonts w:ascii="宋体" w:hAnsi="宋体" w:cs="宋体"/>
          <w:bCs/>
          <w:sz w:val="24"/>
        </w:rPr>
      </w:pPr>
      <w:r>
        <w:rPr>
          <w:rFonts w:hint="eastAsia" w:ascii="宋体" w:hAnsi="宋体" w:cs="宋体"/>
          <w:bCs/>
          <w:sz w:val="24"/>
        </w:rPr>
        <w:t>（五）质疑函应当署名：质疑人为自然人的，应当由本人签字并附有效身份证明；质疑人为法人或其他组织的，应当由法定代表人（负责人）签字并加盖单位公章。</w:t>
      </w:r>
    </w:p>
    <w:p>
      <w:pPr>
        <w:snapToGrid w:val="0"/>
        <w:spacing w:line="360" w:lineRule="auto"/>
        <w:rPr>
          <w:rFonts w:ascii="宋体" w:hAnsi="宋体" w:cs="宋体"/>
          <w:bCs/>
          <w:sz w:val="24"/>
        </w:rPr>
      </w:pPr>
      <w:r>
        <w:rPr>
          <w:rFonts w:hint="eastAsia" w:ascii="宋体" w:hAnsi="宋体" w:cs="宋体"/>
          <w:bCs/>
          <w:sz w:val="24"/>
        </w:rPr>
        <w:t>供应商委托代理质疑的，应当向被质疑人提交授权委托书，并载明委托代理的具体权限和事项。</w:t>
      </w:r>
    </w:p>
    <w:p>
      <w:pPr>
        <w:snapToGrid w:val="0"/>
        <w:spacing w:line="360" w:lineRule="auto"/>
        <w:ind w:firstLine="240" w:firstLineChars="100"/>
        <w:rPr>
          <w:rFonts w:ascii="宋体" w:hAnsi="宋体" w:cs="宋体"/>
          <w:bCs/>
          <w:sz w:val="24"/>
        </w:rPr>
      </w:pPr>
      <w:r>
        <w:rPr>
          <w:rFonts w:hint="eastAsia" w:ascii="宋体" w:hAnsi="宋体" w:cs="宋体"/>
          <w:bCs/>
          <w:sz w:val="24"/>
        </w:rPr>
        <w:t>39.6  供应商提出书面质疑必须有理、有据，不得恶意质疑或提交虚假质疑。供应商恶意质疑或提交虚假质疑的，情节严重的，报请监督管理部门对该供应商进行相应的行政处罚，并保留诉讼的权利。</w:t>
      </w:r>
    </w:p>
    <w:p>
      <w:pPr>
        <w:snapToGrid w:val="0"/>
        <w:spacing w:line="360" w:lineRule="auto"/>
        <w:ind w:firstLine="240" w:firstLineChars="100"/>
        <w:rPr>
          <w:rFonts w:ascii="宋体" w:hAnsi="宋体" w:cs="宋体"/>
          <w:sz w:val="24"/>
        </w:rPr>
      </w:pPr>
      <w:r>
        <w:rPr>
          <w:rFonts w:hint="eastAsia" w:ascii="宋体" w:hAnsi="宋体" w:cs="宋体"/>
          <w:bCs/>
          <w:sz w:val="24"/>
        </w:rPr>
        <w:t>39.7  采购人或采购代理机构将在法律法规等规定期限内对询问或质疑作出答复。对采购人或采购代理机构的质疑答复不满意，或者采购人或采购代理机构未在规定期限内作出答复的，投标人应在法律法规等规定期限内向同级监督部门提起投诉。</w:t>
      </w:r>
    </w:p>
    <w:p>
      <w:pPr>
        <w:spacing w:line="360" w:lineRule="auto"/>
        <w:outlineLvl w:val="2"/>
        <w:rPr>
          <w:rFonts w:ascii="宋体" w:hAnsi="宋体" w:cs="宋体"/>
          <w:b/>
          <w:sz w:val="24"/>
        </w:rPr>
      </w:pPr>
      <w:bookmarkStart w:id="85" w:name="_Toc2188"/>
      <w:r>
        <w:rPr>
          <w:rFonts w:hint="eastAsia" w:ascii="宋体" w:hAnsi="宋体" w:cs="宋体"/>
          <w:b/>
          <w:sz w:val="24"/>
        </w:rPr>
        <w:t>40.质疑和投诉</w:t>
      </w:r>
      <w:bookmarkEnd w:id="85"/>
    </w:p>
    <w:p>
      <w:pPr>
        <w:widowControl/>
        <w:tabs>
          <w:tab w:val="left" w:pos="900"/>
        </w:tabs>
        <w:spacing w:line="360" w:lineRule="auto"/>
        <w:ind w:firstLine="240" w:firstLineChars="100"/>
        <w:rPr>
          <w:rFonts w:ascii="宋体" w:hAnsi="宋体" w:cs="宋体"/>
          <w:sz w:val="24"/>
        </w:rPr>
      </w:pPr>
      <w:r>
        <w:rPr>
          <w:rFonts w:ascii="宋体" w:hAnsi="宋体" w:cs="宋体"/>
          <w:sz w:val="24"/>
        </w:rPr>
        <w:t>本项目为国有企业采购服务项目，不适用《中华人民共和国政府采购法》等政府采购相关法律法规。为便于本项目的顺利实施，采购人比照《中华人民共和国政府采购法》等有关规定开展采购活动。如供应商对本项目提出质疑或提起投诉的，请与采购人、代理公司或采购人主管部门联系处理。响水县公共资源交易中心仅提供发布信息、场地等服务，不负责处理相关质疑、投诉事项。</w:t>
      </w:r>
    </w:p>
    <w:p>
      <w:pPr>
        <w:spacing w:line="360" w:lineRule="auto"/>
        <w:outlineLvl w:val="2"/>
        <w:rPr>
          <w:rFonts w:ascii="宋体" w:hAnsi="宋体" w:cs="宋体"/>
          <w:b/>
          <w:bCs/>
          <w:sz w:val="24"/>
        </w:rPr>
      </w:pPr>
      <w:bookmarkStart w:id="86" w:name="_Toc16329"/>
      <w:r>
        <w:rPr>
          <w:rFonts w:hint="eastAsia" w:ascii="宋体" w:hAnsi="宋体" w:cs="宋体"/>
          <w:b/>
          <w:bCs/>
          <w:sz w:val="24"/>
        </w:rPr>
        <w:t>41.监督部门</w:t>
      </w:r>
      <w:bookmarkEnd w:id="86"/>
    </w:p>
    <w:p>
      <w:pPr>
        <w:pStyle w:val="23"/>
        <w:adjustRightInd w:val="0"/>
        <w:snapToGrid w:val="0"/>
        <w:spacing w:before="0" w:beforeAutospacing="0" w:after="0" w:afterAutospacing="0" w:line="360" w:lineRule="auto"/>
        <w:ind w:firstLine="240" w:firstLineChars="100"/>
        <w:jc w:val="both"/>
      </w:pPr>
      <w:r>
        <w:rPr>
          <w:rFonts w:hint="eastAsia"/>
        </w:rPr>
        <w:t>监督部门：响水县国资委，联系电话：0515-86883570。</w:t>
      </w:r>
    </w:p>
    <w:p>
      <w:pPr>
        <w:pStyle w:val="23"/>
        <w:adjustRightInd w:val="0"/>
        <w:snapToGrid w:val="0"/>
        <w:spacing w:before="78" w:beforeAutospacing="0" w:after="78" w:afterAutospacing="0" w:line="360" w:lineRule="auto"/>
        <w:ind w:firstLine="480" w:firstLineChars="200"/>
        <w:jc w:val="both"/>
        <w:sectPr>
          <w:headerReference r:id="rId8" w:type="default"/>
          <w:footerReference r:id="rId9" w:type="default"/>
          <w:pgSz w:w="11906" w:h="16838"/>
          <w:pgMar w:top="1440" w:right="1417" w:bottom="1440" w:left="1417" w:header="851" w:footer="686" w:gutter="0"/>
          <w:pgNumType w:start="1"/>
          <w:cols w:space="720" w:num="1"/>
          <w:docGrid w:type="lines" w:linePitch="312" w:charSpace="0"/>
        </w:sectPr>
      </w:pPr>
      <w:bookmarkStart w:id="87" w:name="_Toc16667"/>
      <w:bookmarkStart w:id="88" w:name="_Toc19528"/>
      <w:bookmarkStart w:id="89" w:name="_Toc120614220"/>
      <w:bookmarkStart w:id="90" w:name="_Toc513029236"/>
      <w:bookmarkStart w:id="91" w:name="_Toc16938552"/>
      <w:bookmarkStart w:id="92" w:name="_Toc20823308"/>
    </w:p>
    <w:p>
      <w:pPr>
        <w:numPr>
          <w:ilvl w:val="0"/>
          <w:numId w:val="4"/>
        </w:numPr>
        <w:spacing w:before="72" w:beforeLines="25" w:after="72" w:afterLines="25"/>
        <w:ind w:firstLine="442"/>
        <w:jc w:val="center"/>
        <w:outlineLvl w:val="0"/>
        <w:rPr>
          <w:rFonts w:ascii="宋体" w:hAnsi="宋体" w:cs="宋体"/>
          <w:b/>
          <w:sz w:val="28"/>
          <w:szCs w:val="28"/>
        </w:rPr>
      </w:pPr>
      <w:bookmarkStart w:id="93" w:name="_Toc20442"/>
      <w:r>
        <w:rPr>
          <w:rFonts w:hint="eastAsia" w:ascii="宋体" w:hAnsi="宋体" w:cs="宋体"/>
          <w:b/>
          <w:sz w:val="28"/>
          <w:szCs w:val="28"/>
        </w:rPr>
        <w:t xml:space="preserve"> 项目需求</w:t>
      </w:r>
      <w:bookmarkEnd w:id="87"/>
      <w:bookmarkEnd w:id="88"/>
      <w:bookmarkEnd w:id="93"/>
    </w:p>
    <w:p>
      <w:pPr>
        <w:widowControl/>
        <w:snapToGrid w:val="0"/>
        <w:spacing w:line="360" w:lineRule="auto"/>
        <w:ind w:firstLine="240" w:firstLineChars="100"/>
        <w:rPr>
          <w:rFonts w:hint="eastAsia" w:ascii="宋体" w:hAnsi="宋体" w:cs="宋体"/>
          <w:bCs/>
          <w:kern w:val="2"/>
          <w:sz w:val="24"/>
        </w:rPr>
      </w:pPr>
      <w:r>
        <w:rPr>
          <w:rFonts w:hint="eastAsia" w:ascii="宋体" w:hAnsi="宋体" w:cs="宋体"/>
          <w:bCs/>
          <w:kern w:val="2"/>
          <w:sz w:val="24"/>
        </w:rPr>
        <w:t>一、供货周期：</w:t>
      </w:r>
    </w:p>
    <w:p>
      <w:pPr>
        <w:widowControl/>
        <w:snapToGrid w:val="0"/>
        <w:spacing w:line="360" w:lineRule="auto"/>
        <w:ind w:firstLine="240" w:firstLineChars="100"/>
        <w:rPr>
          <w:rFonts w:hint="eastAsia" w:ascii="宋体" w:hAnsi="宋体" w:cs="宋体"/>
          <w:bCs/>
          <w:kern w:val="2"/>
          <w:sz w:val="24"/>
        </w:rPr>
      </w:pPr>
      <w:r>
        <w:rPr>
          <w:rFonts w:hint="eastAsia" w:ascii="宋体" w:hAnsi="宋体" w:cs="宋体"/>
          <w:bCs/>
          <w:kern w:val="2"/>
          <w:sz w:val="24"/>
        </w:rPr>
        <w:t>本次招标供货周期为12个月。</w:t>
      </w:r>
    </w:p>
    <w:p>
      <w:pPr>
        <w:widowControl/>
        <w:snapToGrid w:val="0"/>
        <w:spacing w:line="360" w:lineRule="auto"/>
        <w:ind w:firstLine="240" w:firstLineChars="100"/>
        <w:rPr>
          <w:rFonts w:hint="eastAsia" w:ascii="宋体" w:hAnsi="宋体" w:cs="宋体"/>
          <w:bCs/>
          <w:kern w:val="2"/>
          <w:sz w:val="24"/>
        </w:rPr>
      </w:pPr>
      <w:r>
        <w:rPr>
          <w:rFonts w:hint="eastAsia" w:ascii="宋体" w:hAnsi="宋体" w:cs="宋体"/>
          <w:bCs/>
          <w:kern w:val="2"/>
          <w:sz w:val="24"/>
        </w:rPr>
        <w:t>二、交货地点及数量验收：</w:t>
      </w:r>
    </w:p>
    <w:p>
      <w:pPr>
        <w:widowControl/>
        <w:snapToGrid w:val="0"/>
        <w:spacing w:line="360" w:lineRule="auto"/>
        <w:ind w:firstLine="240" w:firstLineChars="100"/>
        <w:rPr>
          <w:rFonts w:hint="eastAsia" w:ascii="宋体" w:hAnsi="宋体" w:cs="宋体"/>
          <w:bCs/>
          <w:kern w:val="2"/>
          <w:sz w:val="24"/>
        </w:rPr>
      </w:pPr>
      <w:r>
        <w:rPr>
          <w:rFonts w:hint="eastAsia" w:ascii="宋体" w:hAnsi="宋体" w:cs="宋体"/>
          <w:bCs/>
          <w:kern w:val="2"/>
          <w:sz w:val="24"/>
        </w:rPr>
        <w:t>1、交货地点：江苏英奇热电有限公司煤库</w:t>
      </w:r>
    </w:p>
    <w:p>
      <w:pPr>
        <w:widowControl/>
        <w:snapToGrid w:val="0"/>
        <w:spacing w:line="360" w:lineRule="auto"/>
        <w:ind w:firstLine="240" w:firstLineChars="100"/>
        <w:rPr>
          <w:rFonts w:hint="eastAsia" w:ascii="宋体" w:hAnsi="宋体" w:cs="宋体"/>
          <w:bCs/>
          <w:sz w:val="24"/>
        </w:rPr>
      </w:pPr>
      <w:r>
        <w:rPr>
          <w:rFonts w:hint="eastAsia" w:ascii="宋体" w:hAnsi="宋体" w:cs="宋体"/>
          <w:bCs/>
          <w:kern w:val="2"/>
          <w:sz w:val="24"/>
        </w:rPr>
        <w:t>2、交货数量：</w:t>
      </w:r>
      <w:r>
        <w:rPr>
          <w:rFonts w:hint="eastAsia" w:ascii="宋体" w:hAnsi="宋体" w:cs="宋体"/>
          <w:bCs/>
          <w:sz w:val="24"/>
        </w:rPr>
        <w:t>年度采购需求约</w:t>
      </w:r>
      <w:r>
        <w:rPr>
          <w:rFonts w:hint="eastAsia" w:ascii="宋体" w:hAnsi="宋体" w:cs="宋体"/>
          <w:bCs/>
          <w:sz w:val="24"/>
          <w:lang w:val="en-US" w:eastAsia="zh-CN"/>
        </w:rPr>
        <w:t>7</w:t>
      </w:r>
      <w:r>
        <w:rPr>
          <w:rFonts w:hint="eastAsia" w:ascii="宋体" w:hAnsi="宋体" w:cs="宋体"/>
          <w:bCs/>
          <w:sz w:val="24"/>
        </w:rPr>
        <w:t>万吨</w:t>
      </w:r>
      <w:r>
        <w:rPr>
          <w:rFonts w:hint="eastAsia" w:ascii="宋体" w:hAnsi="宋体" w:cs="宋体"/>
          <w:bCs/>
          <w:kern w:val="2"/>
          <w:sz w:val="24"/>
        </w:rPr>
        <w:t>，买方根据生产需求和煤炭行情等实际情况提前5-7天通知</w:t>
      </w:r>
      <w:r>
        <w:rPr>
          <w:rFonts w:hint="eastAsia" w:ascii="宋体" w:hAnsi="宋体" w:cs="宋体"/>
          <w:bCs/>
          <w:sz w:val="24"/>
        </w:rPr>
        <w:t>卖方交货，结算数量以江苏英奇热电有限公司实际过磅数量为准。</w:t>
      </w:r>
    </w:p>
    <w:p>
      <w:pPr>
        <w:widowControl/>
        <w:snapToGrid w:val="0"/>
        <w:spacing w:line="360" w:lineRule="auto"/>
        <w:ind w:firstLine="240" w:firstLineChars="100"/>
        <w:rPr>
          <w:rFonts w:hint="eastAsia" w:ascii="宋体" w:hAnsi="宋体" w:cs="宋体"/>
          <w:bCs/>
          <w:kern w:val="2"/>
          <w:sz w:val="24"/>
        </w:rPr>
      </w:pPr>
      <w:r>
        <w:rPr>
          <w:rFonts w:hint="eastAsia" w:ascii="宋体" w:hAnsi="宋体" w:cs="宋体"/>
          <w:bCs/>
          <w:kern w:val="2"/>
          <w:sz w:val="24"/>
        </w:rPr>
        <w:t>3、费用划分：煤炭到达英奇热电煤库前的一切费用由卖方承担。</w:t>
      </w:r>
    </w:p>
    <w:p>
      <w:pPr>
        <w:widowControl/>
        <w:snapToGrid w:val="0"/>
        <w:spacing w:line="360" w:lineRule="auto"/>
        <w:ind w:firstLine="240" w:firstLineChars="100"/>
        <w:rPr>
          <w:rFonts w:hint="eastAsia" w:ascii="宋体" w:hAnsi="宋体" w:cs="宋体"/>
          <w:bCs/>
          <w:kern w:val="2"/>
          <w:sz w:val="24"/>
        </w:rPr>
      </w:pPr>
      <w:r>
        <w:rPr>
          <w:rFonts w:hint="eastAsia" w:ascii="宋体" w:hAnsi="宋体" w:cs="宋体"/>
          <w:bCs/>
          <w:kern w:val="2"/>
          <w:sz w:val="24"/>
        </w:rPr>
        <w:t>三、煤炭质量要求及</w:t>
      </w:r>
      <w:r>
        <w:rPr>
          <w:rFonts w:hint="eastAsia" w:ascii="宋体" w:hAnsi="宋体" w:cs="宋体"/>
          <w:bCs/>
          <w:kern w:val="2"/>
          <w:sz w:val="24"/>
          <w:lang w:val="en-US" w:eastAsia="zh-CN"/>
        </w:rPr>
        <w:t>考核标准</w:t>
      </w:r>
      <w:r>
        <w:rPr>
          <w:rFonts w:hint="eastAsia" w:ascii="宋体" w:hAnsi="宋体" w:cs="宋体"/>
          <w:bCs/>
          <w:kern w:val="2"/>
          <w:sz w:val="24"/>
        </w:rPr>
        <w:t>：</w:t>
      </w:r>
    </w:p>
    <w:p>
      <w:pPr>
        <w:widowControl/>
        <w:snapToGrid w:val="0"/>
        <w:spacing w:line="360" w:lineRule="auto"/>
        <w:ind w:left="0" w:firstLine="240" w:firstLineChars="100"/>
        <w:rPr>
          <w:rFonts w:hint="eastAsia" w:ascii="宋体" w:hAnsi="宋体" w:cs="宋体"/>
          <w:bCs/>
          <w:kern w:val="2"/>
          <w:sz w:val="24"/>
        </w:rPr>
      </w:pPr>
      <w:r>
        <w:rPr>
          <w:rFonts w:hint="eastAsia" w:ascii="宋体" w:hAnsi="宋体" w:cs="宋体"/>
          <w:bCs/>
          <w:kern w:val="2"/>
          <w:sz w:val="24"/>
        </w:rPr>
        <w:t xml:space="preserve"> 1、煤炭质量基本要求：</w:t>
      </w:r>
    </w:p>
    <w:p>
      <w:pPr>
        <w:widowControl/>
        <w:snapToGrid w:val="0"/>
        <w:spacing w:line="360" w:lineRule="auto"/>
        <w:ind w:leftChars="200" w:firstLine="0" w:firstLineChars="0"/>
        <w:rPr>
          <w:rFonts w:hint="eastAsia" w:ascii="宋体" w:hAnsi="宋体" w:eastAsia="宋体" w:cs="宋体"/>
          <w:bCs/>
          <w:kern w:val="2"/>
          <w:sz w:val="24"/>
          <w:lang w:val="en-US" w:eastAsia="zh-CN"/>
        </w:rPr>
      </w:pPr>
      <w:r>
        <w:rPr>
          <w:rFonts w:hint="eastAsia" w:ascii="宋体" w:hAnsi="宋体" w:cs="宋体"/>
          <w:bCs/>
          <w:kern w:val="2"/>
          <w:sz w:val="24"/>
        </w:rPr>
        <w:t>1)收到基低位发热量</w:t>
      </w:r>
      <w:r>
        <w:rPr>
          <w:rFonts w:hint="eastAsia" w:ascii="宋体" w:hAnsi="宋体" w:cs="宋体"/>
          <w:bCs/>
          <w:kern w:val="2"/>
          <w:sz w:val="24"/>
          <w:highlight w:val="yellow"/>
          <w:lang w:val="en-US" w:eastAsia="zh-CN"/>
        </w:rPr>
        <w:t>5000</w:t>
      </w:r>
      <w:r>
        <w:rPr>
          <w:rFonts w:hint="eastAsia" w:ascii="宋体" w:hAnsi="宋体" w:cs="宋体"/>
          <w:bCs/>
          <w:kern w:val="2"/>
          <w:sz w:val="24"/>
        </w:rPr>
        <w:t>≤Qnet≤</w:t>
      </w:r>
      <w:r>
        <w:rPr>
          <w:rFonts w:hint="eastAsia" w:ascii="宋体" w:hAnsi="宋体" w:cs="宋体"/>
          <w:bCs/>
          <w:kern w:val="2"/>
          <w:sz w:val="24"/>
          <w:lang w:val="en-US" w:eastAsia="zh-CN"/>
        </w:rPr>
        <w:t>5200</w:t>
      </w:r>
      <w:r>
        <w:rPr>
          <w:rFonts w:hint="eastAsia" w:ascii="宋体" w:hAnsi="宋体" w:cs="宋体"/>
          <w:bCs/>
          <w:kern w:val="2"/>
          <w:sz w:val="24"/>
        </w:rPr>
        <w:t>kcal/kg；</w:t>
      </w:r>
    </w:p>
    <w:p>
      <w:pPr>
        <w:widowControl/>
        <w:snapToGrid w:val="0"/>
        <w:spacing w:line="360" w:lineRule="auto"/>
        <w:ind w:leftChars="200" w:firstLine="0" w:firstLineChars="0"/>
        <w:rPr>
          <w:rFonts w:hint="eastAsia" w:ascii="宋体" w:hAnsi="宋体" w:eastAsia="宋体" w:cs="宋体"/>
          <w:bCs/>
          <w:kern w:val="2"/>
          <w:sz w:val="24"/>
          <w:lang w:val="en-US" w:eastAsia="zh-CN"/>
        </w:rPr>
      </w:pPr>
      <w:r>
        <w:rPr>
          <w:rFonts w:hint="eastAsia" w:ascii="宋体" w:hAnsi="宋体" w:cs="宋体"/>
          <w:bCs/>
          <w:kern w:val="2"/>
          <w:sz w:val="24"/>
        </w:rPr>
        <w:t>2)全水分Mt %≤</w:t>
      </w:r>
      <w:r>
        <w:rPr>
          <w:rFonts w:hint="eastAsia" w:ascii="宋体" w:hAnsi="宋体" w:cs="宋体"/>
          <w:bCs/>
          <w:kern w:val="2"/>
          <w:sz w:val="24"/>
          <w:lang w:val="en-US" w:eastAsia="zh-CN"/>
        </w:rPr>
        <w:t>9</w:t>
      </w:r>
      <w:r>
        <w:rPr>
          <w:rFonts w:hint="eastAsia" w:ascii="宋体" w:hAnsi="宋体" w:cs="宋体"/>
          <w:bCs/>
          <w:kern w:val="2"/>
          <w:sz w:val="24"/>
        </w:rPr>
        <w:t>%；</w:t>
      </w:r>
    </w:p>
    <w:p>
      <w:pPr>
        <w:widowControl/>
        <w:snapToGrid w:val="0"/>
        <w:spacing w:line="360" w:lineRule="auto"/>
        <w:ind w:leftChars="200" w:firstLine="0" w:firstLineChars="0"/>
        <w:rPr>
          <w:rFonts w:hint="eastAsia" w:ascii="宋体" w:hAnsi="宋体" w:cs="宋体"/>
          <w:bCs/>
          <w:kern w:val="2"/>
          <w:sz w:val="24"/>
        </w:rPr>
      </w:pPr>
      <w:r>
        <w:rPr>
          <w:rFonts w:hint="eastAsia" w:ascii="宋体" w:hAnsi="宋体" w:cs="宋体"/>
          <w:bCs/>
          <w:kern w:val="2"/>
          <w:sz w:val="24"/>
        </w:rPr>
        <w:t>3)全硫St,ar≤0.</w:t>
      </w:r>
      <w:r>
        <w:rPr>
          <w:rFonts w:hint="eastAsia" w:ascii="宋体" w:hAnsi="宋体" w:cs="宋体"/>
          <w:bCs/>
          <w:kern w:val="2"/>
          <w:sz w:val="24"/>
          <w:lang w:val="en-US" w:eastAsia="zh-CN"/>
        </w:rPr>
        <w:t>8</w:t>
      </w:r>
      <w:r>
        <w:rPr>
          <w:rFonts w:hint="eastAsia" w:ascii="宋体" w:hAnsi="宋体" w:cs="宋体"/>
          <w:bCs/>
          <w:kern w:val="2"/>
          <w:sz w:val="24"/>
        </w:rPr>
        <w:t>%；</w:t>
      </w:r>
    </w:p>
    <w:p>
      <w:pPr>
        <w:widowControl/>
        <w:snapToGrid w:val="0"/>
        <w:spacing w:line="360" w:lineRule="auto"/>
        <w:ind w:leftChars="200" w:firstLine="0" w:firstLineChars="0"/>
        <w:rPr>
          <w:rFonts w:hint="eastAsia" w:ascii="宋体" w:hAnsi="宋体" w:cs="宋体"/>
          <w:bCs/>
          <w:kern w:val="2"/>
          <w:sz w:val="24"/>
        </w:rPr>
      </w:pPr>
      <w:r>
        <w:rPr>
          <w:rFonts w:hint="eastAsia" w:ascii="宋体" w:hAnsi="宋体" w:cs="宋体"/>
          <w:bCs/>
          <w:kern w:val="2"/>
          <w:sz w:val="24"/>
        </w:rPr>
        <w:t xml:space="preserve">4)灰分Aar% </w:t>
      </w:r>
      <w:r>
        <w:rPr>
          <w:rFonts w:hint="eastAsia" w:ascii="宋体" w:hAnsi="宋体" w:cs="宋体"/>
          <w:bCs/>
          <w:kern w:val="2"/>
          <w:sz w:val="24"/>
          <w:lang w:val="en-US" w:eastAsia="zh-CN"/>
        </w:rPr>
        <w:t>18</w:t>
      </w:r>
      <w:r>
        <w:rPr>
          <w:rFonts w:hint="eastAsia" w:ascii="宋体" w:hAnsi="宋体" w:cs="宋体"/>
          <w:bCs/>
          <w:kern w:val="2"/>
          <w:sz w:val="24"/>
        </w:rPr>
        <w:t>%～</w:t>
      </w:r>
      <w:r>
        <w:rPr>
          <w:rFonts w:hint="eastAsia" w:ascii="宋体" w:hAnsi="宋体" w:cs="宋体"/>
          <w:bCs/>
          <w:kern w:val="2"/>
          <w:sz w:val="24"/>
          <w:lang w:val="en-US" w:eastAsia="zh-CN"/>
        </w:rPr>
        <w:t>26</w:t>
      </w:r>
      <w:r>
        <w:rPr>
          <w:rFonts w:hint="eastAsia" w:ascii="宋体" w:hAnsi="宋体" w:cs="宋体"/>
          <w:bCs/>
          <w:kern w:val="2"/>
          <w:sz w:val="24"/>
        </w:rPr>
        <w:t>%；</w:t>
      </w:r>
    </w:p>
    <w:p>
      <w:pPr>
        <w:widowControl/>
        <w:snapToGrid w:val="0"/>
        <w:spacing w:line="360" w:lineRule="auto"/>
        <w:ind w:leftChars="200" w:firstLine="0" w:firstLineChars="0"/>
        <w:rPr>
          <w:rFonts w:hint="eastAsia" w:ascii="宋体" w:hAnsi="宋体" w:cs="宋体"/>
          <w:bCs/>
          <w:kern w:val="2"/>
          <w:sz w:val="24"/>
        </w:rPr>
      </w:pPr>
      <w:r>
        <w:rPr>
          <w:rFonts w:hint="eastAsia" w:ascii="宋体" w:hAnsi="宋体" w:cs="宋体"/>
          <w:bCs/>
          <w:kern w:val="2"/>
          <w:sz w:val="24"/>
        </w:rPr>
        <w:t>5)灰熔点T2≥1</w:t>
      </w:r>
      <w:r>
        <w:rPr>
          <w:rFonts w:hint="eastAsia" w:ascii="宋体" w:hAnsi="宋体" w:cs="宋体"/>
          <w:bCs/>
          <w:kern w:val="2"/>
          <w:sz w:val="24"/>
          <w:lang w:val="en-US" w:eastAsia="zh-CN"/>
        </w:rPr>
        <w:t>3</w:t>
      </w:r>
      <w:r>
        <w:rPr>
          <w:rFonts w:hint="eastAsia" w:ascii="宋体" w:hAnsi="宋体" w:cs="宋体"/>
          <w:bCs/>
          <w:kern w:val="2"/>
          <w:sz w:val="24"/>
        </w:rPr>
        <w:t>50℃；</w:t>
      </w:r>
    </w:p>
    <w:p>
      <w:pPr>
        <w:widowControl/>
        <w:snapToGrid w:val="0"/>
        <w:spacing w:line="360" w:lineRule="auto"/>
        <w:ind w:leftChars="200" w:firstLine="0" w:firstLineChars="0"/>
        <w:rPr>
          <w:rFonts w:hint="eastAsia" w:ascii="宋体" w:hAnsi="宋体" w:cs="宋体"/>
          <w:bCs/>
          <w:kern w:val="2"/>
          <w:sz w:val="24"/>
        </w:rPr>
      </w:pPr>
      <w:r>
        <w:rPr>
          <w:rFonts w:hint="eastAsia" w:ascii="宋体" w:hAnsi="宋体" w:cs="宋体"/>
          <w:bCs/>
          <w:kern w:val="2"/>
          <w:sz w:val="24"/>
        </w:rPr>
        <w:t>6)挥发份2</w:t>
      </w:r>
      <w:r>
        <w:rPr>
          <w:rFonts w:hint="eastAsia" w:ascii="宋体" w:hAnsi="宋体" w:cs="宋体"/>
          <w:bCs/>
          <w:kern w:val="2"/>
          <w:sz w:val="24"/>
          <w:lang w:val="en-US" w:eastAsia="zh-CN"/>
        </w:rPr>
        <w:t>0</w:t>
      </w:r>
      <w:r>
        <w:rPr>
          <w:rFonts w:hint="eastAsia" w:ascii="宋体" w:hAnsi="宋体" w:cs="宋体"/>
          <w:bCs/>
          <w:kern w:val="2"/>
          <w:sz w:val="24"/>
        </w:rPr>
        <w:t>%≤Var≤</w:t>
      </w:r>
      <w:r>
        <w:rPr>
          <w:rFonts w:hint="eastAsia" w:ascii="宋体" w:hAnsi="宋体" w:cs="宋体"/>
          <w:bCs/>
          <w:kern w:val="2"/>
          <w:sz w:val="24"/>
          <w:lang w:val="en-US" w:eastAsia="zh-CN"/>
        </w:rPr>
        <w:t>32</w:t>
      </w:r>
      <w:r>
        <w:rPr>
          <w:rFonts w:hint="eastAsia" w:ascii="宋体" w:hAnsi="宋体" w:cs="宋体"/>
          <w:bCs/>
          <w:kern w:val="2"/>
          <w:sz w:val="24"/>
        </w:rPr>
        <w:t>%；</w:t>
      </w:r>
    </w:p>
    <w:p>
      <w:pPr>
        <w:widowControl/>
        <w:snapToGrid w:val="0"/>
        <w:spacing w:line="360" w:lineRule="auto"/>
        <w:ind w:leftChars="200" w:firstLine="0" w:firstLineChars="0"/>
        <w:rPr>
          <w:rFonts w:hint="eastAsia" w:ascii="宋体" w:hAnsi="宋体" w:cs="宋体"/>
          <w:bCs/>
          <w:kern w:val="2"/>
          <w:sz w:val="24"/>
        </w:rPr>
      </w:pPr>
      <w:r>
        <w:rPr>
          <w:rFonts w:hint="eastAsia" w:ascii="宋体" w:hAnsi="宋体" w:cs="宋体"/>
          <w:bCs/>
          <w:kern w:val="2"/>
          <w:sz w:val="24"/>
        </w:rPr>
        <w:t>7)焦渣特性≤3；</w:t>
      </w:r>
    </w:p>
    <w:p>
      <w:pPr>
        <w:widowControl/>
        <w:snapToGrid w:val="0"/>
        <w:spacing w:line="360" w:lineRule="auto"/>
        <w:ind w:leftChars="200" w:firstLine="0" w:firstLineChars="0"/>
        <w:rPr>
          <w:rFonts w:hint="eastAsia" w:ascii="宋体" w:hAnsi="宋体" w:cs="宋体"/>
          <w:bCs/>
          <w:kern w:val="2"/>
          <w:sz w:val="24"/>
          <w:lang w:val="en-US" w:eastAsia="zh-CN"/>
        </w:rPr>
      </w:pPr>
      <w:r>
        <w:rPr>
          <w:rFonts w:hint="eastAsia" w:ascii="宋体" w:hAnsi="宋体" w:cs="宋体"/>
          <w:bCs/>
          <w:kern w:val="2"/>
          <w:sz w:val="24"/>
        </w:rPr>
        <w:t>8）</w:t>
      </w:r>
      <w:r>
        <w:rPr>
          <w:rFonts w:hint="eastAsia" w:ascii="宋体" w:hAnsi="宋体" w:cs="宋体"/>
          <w:bCs/>
          <w:kern w:val="2"/>
          <w:sz w:val="24"/>
          <w:lang w:val="en-US" w:eastAsia="zh-CN"/>
        </w:rPr>
        <w:t>粒度要求3mm-50mm：小于3mm的比例≤30%，大于50mm的比例≤10%，最大粒度不超过80mm，超过上述指标买方有权拒收；</w:t>
      </w:r>
    </w:p>
    <w:p>
      <w:pPr>
        <w:widowControl/>
        <w:snapToGrid w:val="0"/>
        <w:spacing w:line="360" w:lineRule="auto"/>
        <w:ind w:leftChars="200" w:firstLine="0" w:firstLineChars="0"/>
        <w:rPr>
          <w:rFonts w:hint="eastAsia" w:ascii="宋体" w:hAnsi="宋体" w:cs="宋体"/>
          <w:bCs/>
          <w:sz w:val="24"/>
        </w:rPr>
      </w:pPr>
      <w:r>
        <w:rPr>
          <w:rFonts w:hint="eastAsia" w:ascii="宋体" w:hAnsi="宋体" w:cs="宋体"/>
          <w:bCs/>
          <w:kern w:val="2"/>
          <w:sz w:val="24"/>
          <w:lang w:val="en-US" w:eastAsia="zh-CN"/>
        </w:rPr>
        <w:t>9）煤炭必须是原煤，不允许经过掺配。</w:t>
      </w:r>
    </w:p>
    <w:p>
      <w:pPr>
        <w:widowControl/>
        <w:snapToGrid w:val="0"/>
        <w:spacing w:line="360" w:lineRule="auto"/>
        <w:ind w:firstLine="480" w:firstLineChars="200"/>
        <w:rPr>
          <w:rFonts w:hint="eastAsia" w:ascii="宋体" w:hAnsi="宋体" w:cs="宋体"/>
          <w:bCs/>
          <w:kern w:val="2"/>
          <w:sz w:val="24"/>
        </w:rPr>
      </w:pPr>
      <w:r>
        <w:rPr>
          <w:rFonts w:hint="eastAsia" w:ascii="宋体" w:hAnsi="宋体" w:cs="宋体"/>
          <w:bCs/>
          <w:kern w:val="2"/>
          <w:sz w:val="24"/>
        </w:rPr>
        <w:t>2、指标考核：</w:t>
      </w:r>
    </w:p>
    <w:p>
      <w:pPr>
        <w:widowControl/>
        <w:snapToGrid w:val="0"/>
        <w:spacing w:line="360" w:lineRule="auto"/>
        <w:ind w:firstLine="480" w:firstLineChars="200"/>
        <w:rPr>
          <w:rFonts w:hint="eastAsia" w:ascii="宋体" w:hAnsi="宋体" w:cs="宋体"/>
          <w:bCs/>
          <w:kern w:val="2"/>
          <w:sz w:val="24"/>
        </w:rPr>
      </w:pPr>
      <w:r>
        <w:rPr>
          <w:rFonts w:hint="eastAsia" w:ascii="宋体" w:hAnsi="宋体" w:cs="宋体"/>
          <w:bCs/>
          <w:kern w:val="2"/>
          <w:sz w:val="24"/>
        </w:rPr>
        <w:t>1)热值</w:t>
      </w:r>
    </w:p>
    <w:p>
      <w:pPr>
        <w:widowControl/>
        <w:snapToGrid w:val="0"/>
        <w:spacing w:line="360" w:lineRule="auto"/>
        <w:ind w:firstLine="480" w:firstLineChars="200"/>
        <w:rPr>
          <w:rFonts w:hint="eastAsia" w:ascii="宋体" w:hAnsi="宋体" w:cs="宋体"/>
          <w:bCs/>
          <w:kern w:val="2"/>
          <w:sz w:val="24"/>
        </w:rPr>
      </w:pPr>
      <w:r>
        <w:rPr>
          <w:rFonts w:hint="eastAsia" w:ascii="宋体" w:hAnsi="宋体" w:cs="宋体"/>
          <w:bCs/>
          <w:kern w:val="2"/>
          <w:sz w:val="24"/>
          <w:lang w:val="en-US" w:eastAsia="zh-CN"/>
        </w:rPr>
        <w:t>当收到基低位发热量在</w:t>
      </w:r>
      <w:r>
        <w:rPr>
          <w:rFonts w:hint="eastAsia" w:ascii="宋体" w:hAnsi="宋体" w:cs="宋体"/>
          <w:bCs/>
          <w:kern w:val="2"/>
          <w:sz w:val="24"/>
          <w:highlight w:val="yellow"/>
          <w:lang w:val="en-US" w:eastAsia="zh-CN"/>
        </w:rPr>
        <w:t>5000</w:t>
      </w:r>
      <w:r>
        <w:rPr>
          <w:rFonts w:hint="eastAsia" w:ascii="宋体" w:hAnsi="宋体" w:cs="宋体"/>
          <w:bCs/>
          <w:kern w:val="2"/>
          <w:sz w:val="24"/>
          <w:lang w:val="en-US" w:eastAsia="zh-CN"/>
        </w:rPr>
        <w:t>-5200</w:t>
      </w:r>
      <w:r>
        <w:rPr>
          <w:rFonts w:hint="eastAsia" w:ascii="宋体" w:hAnsi="宋体" w:cs="宋体"/>
          <w:bCs/>
          <w:kern w:val="2"/>
          <w:sz w:val="24"/>
        </w:rPr>
        <w:t>kcal/kg</w:t>
      </w:r>
      <w:r>
        <w:rPr>
          <w:rFonts w:hint="eastAsia" w:ascii="宋体" w:hAnsi="宋体" w:cs="宋体"/>
          <w:bCs/>
          <w:kern w:val="2"/>
          <w:sz w:val="24"/>
          <w:lang w:val="en-US" w:eastAsia="zh-CN"/>
        </w:rPr>
        <w:t>之间时,结算按照热值单价（小数点后四位）×化验后的低位发热量，高于5200大卡以5200大卡结算；</w:t>
      </w:r>
      <w:r>
        <w:rPr>
          <w:rFonts w:hint="eastAsia" w:ascii="宋体" w:hAnsi="宋体" w:cs="宋体"/>
          <w:bCs/>
          <w:kern w:val="2"/>
          <w:sz w:val="24"/>
        </w:rPr>
        <w:t>当收到基低位发热量低于</w:t>
      </w:r>
      <w:r>
        <w:rPr>
          <w:rFonts w:hint="eastAsia" w:ascii="宋体" w:hAnsi="宋体" w:cs="宋体"/>
          <w:bCs/>
          <w:kern w:val="2"/>
          <w:sz w:val="24"/>
          <w:highlight w:val="yellow"/>
          <w:lang w:val="en-US" w:eastAsia="zh-CN"/>
        </w:rPr>
        <w:t>50</w:t>
      </w:r>
      <w:r>
        <w:rPr>
          <w:rFonts w:hint="eastAsia" w:ascii="宋体" w:hAnsi="宋体" w:cs="宋体"/>
          <w:bCs/>
          <w:kern w:val="2"/>
          <w:sz w:val="24"/>
          <w:highlight w:val="yellow"/>
        </w:rPr>
        <w:t>00kcal/kg时</w:t>
      </w:r>
      <w:r>
        <w:rPr>
          <w:rFonts w:hint="eastAsia" w:ascii="宋体" w:hAnsi="宋体" w:cs="宋体"/>
          <w:bCs/>
          <w:kern w:val="2"/>
          <w:sz w:val="24"/>
        </w:rPr>
        <w:t>，买方有权拒绝接受该批次的煤炭。</w:t>
      </w:r>
    </w:p>
    <w:p>
      <w:pPr>
        <w:widowControl/>
        <w:numPr>
          <w:ilvl w:val="-1"/>
          <w:numId w:val="0"/>
        </w:numPr>
        <w:snapToGrid w:val="0"/>
        <w:spacing w:line="360" w:lineRule="auto"/>
        <w:ind w:firstLine="480" w:firstLineChars="200"/>
        <w:rPr>
          <w:rFonts w:hint="eastAsia" w:ascii="宋体" w:hAnsi="宋体" w:cs="宋体"/>
          <w:bCs/>
          <w:kern w:val="2"/>
          <w:sz w:val="24"/>
        </w:rPr>
      </w:pPr>
      <w:r>
        <w:rPr>
          <w:rFonts w:hint="eastAsia" w:ascii="宋体" w:hAnsi="宋体" w:cs="宋体"/>
          <w:bCs/>
          <w:kern w:val="2"/>
          <w:sz w:val="24"/>
          <w:lang w:val="en-US" w:eastAsia="zh-CN"/>
        </w:rPr>
        <w:t>2</w:t>
      </w:r>
      <w:r>
        <w:rPr>
          <w:rFonts w:hint="eastAsia" w:ascii="宋体" w:hAnsi="宋体" w:cs="宋体"/>
          <w:bCs/>
          <w:kern w:val="2"/>
          <w:sz w:val="24"/>
        </w:rPr>
        <w:t>)水分</w:t>
      </w:r>
    </w:p>
    <w:p>
      <w:pPr>
        <w:snapToGrid w:val="0"/>
        <w:spacing w:line="360" w:lineRule="auto"/>
        <w:ind w:firstLine="480" w:firstLineChars="200"/>
        <w:rPr>
          <w:rFonts w:hint="eastAsia" w:ascii="宋体" w:hAnsi="宋体" w:cs="宋体"/>
          <w:bCs/>
          <w:kern w:val="2"/>
          <w:sz w:val="24"/>
          <w:lang w:val="en-US" w:eastAsia="zh-CN"/>
        </w:rPr>
      </w:pPr>
      <w:r>
        <w:rPr>
          <w:rFonts w:hint="eastAsia" w:ascii="宋体" w:hAnsi="宋体" w:cs="宋体"/>
          <w:bCs/>
          <w:kern w:val="2"/>
          <w:sz w:val="24"/>
          <w:lang w:val="en-US" w:eastAsia="zh-CN"/>
        </w:rPr>
        <w:t>以9%为基准，超出9%的部分扣除相应吨位，即(实际全水分-9%)*实际交货量。</w:t>
      </w:r>
    </w:p>
    <w:p>
      <w:pPr>
        <w:widowControl/>
        <w:snapToGrid w:val="0"/>
        <w:spacing w:line="360" w:lineRule="auto"/>
        <w:ind w:firstLine="480" w:firstLineChars="200"/>
        <w:rPr>
          <w:rFonts w:hint="eastAsia" w:ascii="宋体" w:hAnsi="宋体" w:cs="宋体"/>
          <w:bCs/>
          <w:kern w:val="2"/>
          <w:sz w:val="24"/>
        </w:rPr>
      </w:pPr>
      <w:r>
        <w:rPr>
          <w:rFonts w:hint="eastAsia" w:ascii="宋体" w:hAnsi="宋体" w:cs="宋体"/>
          <w:bCs/>
          <w:kern w:val="2"/>
          <w:sz w:val="24"/>
        </w:rPr>
        <w:t>若卖方煤炭外表潮湿影响买方正常生产，买方有权拒收，造成的损失全部由卖方承担。</w:t>
      </w:r>
    </w:p>
    <w:p>
      <w:pPr>
        <w:widowControl/>
        <w:numPr>
          <w:ilvl w:val="0"/>
          <w:numId w:val="0"/>
        </w:numPr>
        <w:snapToGrid w:val="0"/>
        <w:spacing w:line="360" w:lineRule="auto"/>
        <w:ind w:left="210" w:leftChars="100" w:firstLine="240" w:firstLineChars="100"/>
        <w:rPr>
          <w:rFonts w:hint="eastAsia" w:ascii="宋体" w:hAnsi="宋体" w:cs="宋体"/>
          <w:bCs/>
          <w:kern w:val="2"/>
          <w:sz w:val="24"/>
          <w:lang w:val="en-US" w:eastAsia="zh-CN"/>
        </w:rPr>
      </w:pPr>
      <w:r>
        <w:rPr>
          <w:rFonts w:hint="eastAsia" w:ascii="宋体" w:hAnsi="宋体" w:cs="宋体"/>
          <w:bCs/>
          <w:kern w:val="2"/>
          <w:sz w:val="24"/>
          <w:lang w:val="en-US" w:eastAsia="zh-CN"/>
        </w:rPr>
        <w:t>3</w:t>
      </w:r>
      <w:r>
        <w:rPr>
          <w:rFonts w:hint="eastAsia" w:ascii="宋体" w:hAnsi="宋体" w:cs="宋体"/>
          <w:bCs/>
          <w:kern w:val="2"/>
          <w:sz w:val="24"/>
        </w:rPr>
        <w:t>)</w:t>
      </w:r>
      <w:r>
        <w:rPr>
          <w:rFonts w:hint="eastAsia" w:ascii="宋体" w:hAnsi="宋体" w:cs="宋体"/>
          <w:bCs/>
          <w:kern w:val="2"/>
          <w:sz w:val="24"/>
          <w:lang w:val="en-US" w:eastAsia="zh-CN"/>
        </w:rPr>
        <w:t>灰分</w:t>
      </w:r>
    </w:p>
    <w:p>
      <w:pPr>
        <w:snapToGrid w:val="0"/>
        <w:ind w:leftChars="100" w:firstLine="240" w:firstLineChars="100"/>
        <w:rPr>
          <w:rFonts w:hint="eastAsia" w:ascii="宋体" w:hAnsi="宋体" w:eastAsia="宋体" w:cs="宋体"/>
          <w:bCs/>
          <w:kern w:val="2"/>
          <w:position w:val="0"/>
          <w:sz w:val="24"/>
          <w:szCs w:val="24"/>
          <w:lang w:val="en-US" w:eastAsia="zh-CN" w:bidi="ar-SA"/>
        </w:rPr>
      </w:pPr>
      <w:r>
        <w:rPr>
          <w:rFonts w:hint="eastAsia" w:ascii="宋体" w:hAnsi="宋体" w:eastAsia="宋体" w:cs="宋体"/>
          <w:bCs/>
          <w:kern w:val="2"/>
          <w:position w:val="0"/>
          <w:sz w:val="24"/>
          <w:szCs w:val="24"/>
          <w:lang w:val="en-US" w:eastAsia="zh-CN" w:bidi="ar-SA"/>
        </w:rPr>
        <w:t>高于2</w:t>
      </w:r>
      <w:r>
        <w:rPr>
          <w:rFonts w:hint="eastAsia" w:ascii="宋体" w:hAnsi="宋体" w:cs="宋体"/>
          <w:bCs/>
          <w:kern w:val="2"/>
          <w:position w:val="0"/>
          <w:sz w:val="24"/>
          <w:szCs w:val="24"/>
          <w:lang w:val="en-US" w:eastAsia="zh-CN" w:bidi="ar-SA"/>
        </w:rPr>
        <w:t>6</w:t>
      </w:r>
      <w:r>
        <w:rPr>
          <w:rFonts w:hint="eastAsia" w:ascii="宋体" w:hAnsi="宋体" w:eastAsia="宋体" w:cs="宋体"/>
          <w:bCs/>
          <w:kern w:val="2"/>
          <w:position w:val="0"/>
          <w:sz w:val="24"/>
          <w:szCs w:val="24"/>
          <w:lang w:val="en-US" w:eastAsia="zh-CN" w:bidi="ar-SA"/>
        </w:rPr>
        <w:t>%每超1%扣合同单价5元/吨，＜15</w:t>
      </w:r>
      <w:r>
        <w:rPr>
          <w:rFonts w:hint="eastAsia" w:ascii="宋体" w:hAnsi="宋体" w:eastAsia="宋体" w:cs="宋体"/>
          <w:bCs/>
          <w:color w:val="000000" w:themeColor="text1"/>
          <w:kern w:val="2"/>
          <w:position w:val="0"/>
          <w:sz w:val="24"/>
          <w:szCs w:val="24"/>
          <w:lang w:val="en-US" w:eastAsia="zh-CN" w:bidi="ar-SA"/>
          <w14:textFill>
            <w14:solidFill>
              <w14:schemeClr w14:val="tx1"/>
            </w14:solidFill>
          </w14:textFill>
        </w:rPr>
        <w:t>%</w:t>
      </w:r>
      <w:r>
        <w:rPr>
          <w:rFonts w:hint="eastAsia" w:ascii="宋体" w:hAnsi="宋体" w:eastAsia="宋体" w:cs="宋体"/>
          <w:bCs/>
          <w:kern w:val="2"/>
          <w:position w:val="0"/>
          <w:sz w:val="24"/>
          <w:szCs w:val="24"/>
          <w:lang w:val="en-US" w:eastAsia="zh-CN" w:bidi="ar-SA"/>
        </w:rPr>
        <w:t>拒绝收货；</w:t>
      </w:r>
    </w:p>
    <w:p>
      <w:pPr>
        <w:widowControl/>
        <w:numPr>
          <w:ilvl w:val="0"/>
          <w:numId w:val="0"/>
        </w:numPr>
        <w:snapToGrid w:val="0"/>
        <w:spacing w:line="360" w:lineRule="auto"/>
        <w:ind w:leftChars="100" w:firstLine="240" w:firstLineChars="100"/>
        <w:rPr>
          <w:rFonts w:hint="eastAsia" w:ascii="宋体" w:hAnsi="宋体" w:cs="宋体"/>
          <w:bCs/>
          <w:kern w:val="2"/>
          <w:sz w:val="24"/>
        </w:rPr>
      </w:pPr>
      <w:r>
        <w:rPr>
          <w:rFonts w:hint="eastAsia" w:ascii="宋体" w:hAnsi="宋体" w:cs="宋体"/>
          <w:bCs/>
          <w:kern w:val="2"/>
          <w:sz w:val="24"/>
          <w:lang w:val="en-US" w:eastAsia="zh-CN"/>
        </w:rPr>
        <w:t>4</w:t>
      </w:r>
      <w:r>
        <w:rPr>
          <w:rFonts w:hint="eastAsia" w:ascii="宋体" w:hAnsi="宋体" w:cs="宋体"/>
          <w:bCs/>
          <w:kern w:val="2"/>
          <w:sz w:val="24"/>
        </w:rPr>
        <w:t>)硫分</w:t>
      </w:r>
    </w:p>
    <w:p>
      <w:pPr>
        <w:widowControl/>
        <w:snapToGrid w:val="0"/>
        <w:spacing w:line="360" w:lineRule="auto"/>
        <w:ind w:leftChars="100" w:firstLine="240" w:firstLineChars="100"/>
        <w:rPr>
          <w:rFonts w:hint="eastAsia" w:ascii="宋体" w:hAnsi="宋体" w:cs="宋体"/>
          <w:bCs/>
          <w:kern w:val="2"/>
          <w:sz w:val="24"/>
        </w:rPr>
      </w:pPr>
      <w:r>
        <w:rPr>
          <w:rFonts w:hint="eastAsia" w:ascii="宋体" w:hAnsi="宋体" w:cs="宋体"/>
          <w:bCs/>
          <w:kern w:val="2"/>
          <w:sz w:val="24"/>
          <w:lang w:val="en-US" w:eastAsia="zh-CN"/>
        </w:rPr>
        <w:t>以0.8%为基准，每超0.1%扣5元/吨，超过1%买方有权拒收。</w:t>
      </w:r>
    </w:p>
    <w:p>
      <w:pPr>
        <w:widowControl/>
        <w:numPr>
          <w:ilvl w:val="0"/>
          <w:numId w:val="0"/>
        </w:numPr>
        <w:snapToGrid w:val="0"/>
        <w:spacing w:line="360" w:lineRule="auto"/>
        <w:ind w:leftChars="100" w:firstLine="240" w:firstLineChars="100"/>
        <w:rPr>
          <w:rFonts w:hint="eastAsia" w:ascii="宋体" w:hAnsi="宋体" w:cs="宋体"/>
          <w:bCs/>
          <w:kern w:val="2"/>
          <w:sz w:val="24"/>
        </w:rPr>
      </w:pPr>
      <w:r>
        <w:rPr>
          <w:rFonts w:hint="eastAsia" w:ascii="宋体" w:hAnsi="宋体" w:cs="宋体"/>
          <w:bCs/>
          <w:kern w:val="2"/>
          <w:sz w:val="24"/>
          <w:lang w:val="en-US" w:eastAsia="zh-CN"/>
        </w:rPr>
        <w:t>5</w:t>
      </w:r>
      <w:r>
        <w:rPr>
          <w:rFonts w:hint="eastAsia" w:ascii="宋体" w:hAnsi="宋体" w:cs="宋体"/>
          <w:bCs/>
          <w:kern w:val="2"/>
          <w:sz w:val="24"/>
        </w:rPr>
        <w:t>)灰熔点</w:t>
      </w:r>
    </w:p>
    <w:p>
      <w:pPr>
        <w:widowControl/>
        <w:snapToGrid w:val="0"/>
        <w:spacing w:line="360" w:lineRule="auto"/>
        <w:ind w:leftChars="100" w:firstLine="240" w:firstLineChars="100"/>
        <w:rPr>
          <w:rFonts w:hint="eastAsia" w:ascii="宋体" w:hAnsi="宋体" w:cs="宋体"/>
          <w:bCs/>
          <w:kern w:val="2"/>
          <w:sz w:val="24"/>
        </w:rPr>
      </w:pPr>
      <w:r>
        <w:rPr>
          <w:rFonts w:hint="eastAsia" w:ascii="宋体" w:hAnsi="宋体" w:cs="宋体"/>
          <w:bCs/>
          <w:kern w:val="2"/>
          <w:sz w:val="24"/>
        </w:rPr>
        <w:t>当</w:t>
      </w:r>
      <w:r>
        <w:rPr>
          <w:rFonts w:hint="eastAsia" w:ascii="宋体" w:hAnsi="宋体" w:cs="宋体"/>
          <w:bCs/>
          <w:kern w:val="2"/>
          <w:sz w:val="24"/>
          <w:lang w:val="en-US" w:eastAsia="zh-CN"/>
        </w:rPr>
        <w:t>灰熔点＜1350</w:t>
      </w:r>
      <w:r>
        <w:rPr>
          <w:rFonts w:hint="eastAsia" w:ascii="宋体" w:hAnsi="宋体" w:cs="宋体"/>
          <w:bCs/>
          <w:kern w:val="2"/>
          <w:sz w:val="24"/>
        </w:rPr>
        <w:t>℃时，买方有权拒收。</w:t>
      </w:r>
    </w:p>
    <w:p>
      <w:pPr>
        <w:widowControl/>
        <w:numPr>
          <w:ilvl w:val="0"/>
          <w:numId w:val="0"/>
        </w:numPr>
        <w:snapToGrid w:val="0"/>
        <w:spacing w:line="360" w:lineRule="auto"/>
        <w:ind w:leftChars="100" w:firstLine="240" w:firstLineChars="100"/>
        <w:rPr>
          <w:rFonts w:hint="eastAsia" w:ascii="宋体" w:hAnsi="宋体" w:cs="宋体"/>
          <w:bCs/>
          <w:kern w:val="2"/>
          <w:sz w:val="24"/>
        </w:rPr>
      </w:pPr>
      <w:r>
        <w:rPr>
          <w:rFonts w:hint="eastAsia" w:ascii="宋体" w:hAnsi="宋体" w:cs="宋体"/>
          <w:bCs/>
          <w:kern w:val="2"/>
          <w:sz w:val="24"/>
          <w:lang w:val="en-US" w:eastAsia="zh-CN"/>
        </w:rPr>
        <w:t>6</w:t>
      </w:r>
      <w:r>
        <w:rPr>
          <w:rFonts w:hint="eastAsia" w:ascii="宋体" w:hAnsi="宋体" w:cs="宋体"/>
          <w:bCs/>
          <w:kern w:val="2"/>
          <w:sz w:val="24"/>
        </w:rPr>
        <w:t>)挥发分</w:t>
      </w:r>
    </w:p>
    <w:p>
      <w:pPr>
        <w:widowControl/>
        <w:snapToGrid w:val="0"/>
        <w:spacing w:line="360" w:lineRule="auto"/>
        <w:ind w:leftChars="100" w:firstLine="240" w:firstLineChars="100"/>
        <w:rPr>
          <w:rFonts w:hint="eastAsia" w:ascii="宋体" w:hAnsi="宋体" w:cs="宋体"/>
          <w:bCs/>
          <w:kern w:val="2"/>
          <w:sz w:val="24"/>
        </w:rPr>
      </w:pPr>
      <w:r>
        <w:rPr>
          <w:rFonts w:hint="eastAsia" w:ascii="宋体" w:hAnsi="宋体" w:cs="宋体"/>
          <w:bCs/>
          <w:kern w:val="2"/>
          <w:sz w:val="24"/>
          <w:lang w:val="en-US" w:eastAsia="zh-CN"/>
        </w:rPr>
        <w:t>挥发分</w:t>
      </w:r>
      <w:r>
        <w:rPr>
          <w:rFonts w:hint="eastAsia" w:ascii="宋体" w:hAnsi="宋体" w:cs="宋体"/>
          <w:bCs/>
          <w:kern w:val="2"/>
          <w:sz w:val="24"/>
        </w:rPr>
        <w:t>低于</w:t>
      </w:r>
      <w:r>
        <w:rPr>
          <w:rFonts w:hint="eastAsia" w:ascii="宋体" w:hAnsi="宋体" w:cs="宋体"/>
          <w:bCs/>
          <w:kern w:val="2"/>
          <w:sz w:val="24"/>
          <w:lang w:val="en-US" w:eastAsia="zh-CN"/>
        </w:rPr>
        <w:t>20</w:t>
      </w:r>
      <w:r>
        <w:rPr>
          <w:rFonts w:hint="eastAsia" w:ascii="宋体" w:hAnsi="宋体" w:cs="宋体"/>
          <w:bCs/>
          <w:kern w:val="2"/>
          <w:sz w:val="24"/>
        </w:rPr>
        <w:t>%时，</w:t>
      </w:r>
      <w:r>
        <w:rPr>
          <w:rFonts w:hint="eastAsia" w:ascii="宋体" w:hAnsi="宋体" w:cs="宋体"/>
          <w:bCs/>
          <w:kern w:val="2"/>
          <w:sz w:val="24"/>
          <w:lang w:val="en-US" w:eastAsia="zh-CN"/>
        </w:rPr>
        <w:t>每低1%扣</w:t>
      </w:r>
      <w:r>
        <w:rPr>
          <w:rFonts w:hint="eastAsia" w:ascii="宋体" w:hAnsi="宋体" w:cs="宋体"/>
          <w:bCs/>
          <w:kern w:val="2"/>
          <w:sz w:val="24"/>
        </w:rPr>
        <w:t>5元/吨</w:t>
      </w:r>
      <w:r>
        <w:rPr>
          <w:rFonts w:hint="eastAsia" w:ascii="宋体" w:hAnsi="宋体" w:cs="宋体"/>
          <w:bCs/>
          <w:kern w:val="2"/>
          <w:sz w:val="24"/>
          <w:lang w:eastAsia="zh-CN"/>
        </w:rPr>
        <w:t>；</w:t>
      </w:r>
      <w:r>
        <w:rPr>
          <w:rFonts w:hint="eastAsia" w:ascii="宋体" w:hAnsi="宋体" w:cs="宋体"/>
          <w:bCs/>
          <w:kern w:val="2"/>
          <w:sz w:val="24"/>
        </w:rPr>
        <w:t>如低于1</w:t>
      </w:r>
      <w:r>
        <w:rPr>
          <w:rFonts w:hint="eastAsia" w:ascii="宋体" w:hAnsi="宋体" w:cs="宋体"/>
          <w:bCs/>
          <w:kern w:val="2"/>
          <w:sz w:val="24"/>
          <w:lang w:val="en-US" w:eastAsia="zh-CN"/>
        </w:rPr>
        <w:t>8</w:t>
      </w:r>
      <w:r>
        <w:rPr>
          <w:rFonts w:hint="eastAsia" w:ascii="宋体" w:hAnsi="宋体" w:cs="宋体"/>
          <w:bCs/>
          <w:kern w:val="2"/>
          <w:sz w:val="24"/>
        </w:rPr>
        <w:t>%买方有权拒收。</w:t>
      </w:r>
    </w:p>
    <w:p>
      <w:pPr>
        <w:widowControl/>
        <w:numPr>
          <w:ilvl w:val="0"/>
          <w:numId w:val="0"/>
        </w:numPr>
        <w:snapToGrid w:val="0"/>
        <w:spacing w:line="360" w:lineRule="auto"/>
        <w:ind w:leftChars="100" w:firstLine="240" w:firstLineChars="100"/>
        <w:rPr>
          <w:rFonts w:hint="eastAsia" w:ascii="宋体" w:hAnsi="宋体" w:cs="宋体"/>
          <w:bCs/>
          <w:kern w:val="2"/>
          <w:sz w:val="24"/>
        </w:rPr>
      </w:pPr>
      <w:r>
        <w:rPr>
          <w:rFonts w:hint="eastAsia" w:ascii="宋体" w:hAnsi="宋体" w:cs="宋体"/>
          <w:bCs/>
          <w:kern w:val="2"/>
          <w:sz w:val="24"/>
          <w:lang w:val="en-US" w:eastAsia="zh-CN"/>
        </w:rPr>
        <w:t>7</w:t>
      </w:r>
      <w:r>
        <w:rPr>
          <w:rFonts w:hint="eastAsia" w:ascii="宋体" w:hAnsi="宋体" w:cs="宋体"/>
          <w:bCs/>
          <w:kern w:val="2"/>
          <w:sz w:val="24"/>
        </w:rPr>
        <w:t>)焦渣特征</w:t>
      </w:r>
    </w:p>
    <w:p>
      <w:pPr>
        <w:widowControl/>
        <w:snapToGrid w:val="0"/>
        <w:spacing w:line="360" w:lineRule="auto"/>
        <w:ind w:leftChars="100" w:firstLine="240" w:firstLineChars="100"/>
        <w:rPr>
          <w:rFonts w:hint="eastAsia" w:ascii="宋体" w:hAnsi="宋体" w:cs="宋体"/>
          <w:bCs/>
          <w:kern w:val="2"/>
          <w:sz w:val="24"/>
        </w:rPr>
      </w:pPr>
      <w:r>
        <w:rPr>
          <w:rFonts w:hint="eastAsia" w:ascii="宋体" w:hAnsi="宋体" w:cs="宋体"/>
          <w:bCs/>
          <w:kern w:val="2"/>
          <w:sz w:val="24"/>
        </w:rPr>
        <w:t>焦渣特征</w:t>
      </w:r>
      <w:r>
        <w:rPr>
          <w:rFonts w:hint="eastAsia" w:ascii="宋体" w:hAnsi="宋体" w:cs="宋体"/>
          <w:bCs/>
          <w:kern w:val="2"/>
          <w:sz w:val="24"/>
          <w:lang w:val="en-US" w:eastAsia="zh-CN"/>
        </w:rPr>
        <w:t>超过3号，影响买方锅炉正常使用，</w:t>
      </w:r>
      <w:r>
        <w:rPr>
          <w:rFonts w:hint="eastAsia" w:ascii="宋体" w:hAnsi="宋体" w:cs="宋体"/>
          <w:bCs/>
          <w:kern w:val="2"/>
          <w:sz w:val="24"/>
        </w:rPr>
        <w:t>买方有权拒绝接受该批次的煤炭。</w:t>
      </w:r>
    </w:p>
    <w:p>
      <w:pPr>
        <w:widowControl/>
        <w:numPr>
          <w:ilvl w:val="0"/>
          <w:numId w:val="0"/>
        </w:numPr>
        <w:snapToGrid w:val="0"/>
        <w:spacing w:line="360" w:lineRule="auto"/>
        <w:ind w:leftChars="100" w:firstLine="240" w:firstLineChars="100"/>
        <w:rPr>
          <w:rFonts w:hint="eastAsia" w:ascii="宋体" w:hAnsi="宋体" w:cs="宋体"/>
          <w:bCs/>
          <w:kern w:val="2"/>
          <w:sz w:val="24"/>
        </w:rPr>
      </w:pPr>
      <w:r>
        <w:rPr>
          <w:rFonts w:hint="eastAsia" w:ascii="宋体" w:hAnsi="宋体" w:cs="宋体"/>
          <w:bCs/>
          <w:kern w:val="2"/>
          <w:sz w:val="24"/>
          <w:lang w:val="en-US" w:eastAsia="zh-CN"/>
        </w:rPr>
        <w:t>8</w:t>
      </w:r>
      <w:r>
        <w:rPr>
          <w:rFonts w:hint="eastAsia" w:ascii="宋体" w:hAnsi="宋体" w:cs="宋体"/>
          <w:bCs/>
          <w:kern w:val="2"/>
          <w:sz w:val="24"/>
        </w:rPr>
        <w:t>)粒度</w:t>
      </w:r>
    </w:p>
    <w:p>
      <w:pPr>
        <w:widowControl/>
        <w:snapToGrid w:val="0"/>
        <w:spacing w:line="360" w:lineRule="auto"/>
        <w:ind w:leftChars="100" w:firstLine="240" w:firstLineChars="100"/>
        <w:rPr>
          <w:rFonts w:hint="eastAsia" w:ascii="宋体" w:hAnsi="宋体" w:cs="宋体"/>
          <w:bCs/>
          <w:kern w:val="2"/>
          <w:sz w:val="24"/>
          <w:lang w:val="en-US" w:eastAsia="zh-CN"/>
        </w:rPr>
      </w:pPr>
      <w:r>
        <w:rPr>
          <w:rFonts w:hint="eastAsia" w:ascii="宋体" w:hAnsi="宋体" w:cs="宋体"/>
          <w:bCs/>
          <w:kern w:val="2"/>
          <w:sz w:val="24"/>
          <w:lang w:val="en-US" w:eastAsia="zh-CN"/>
        </w:rPr>
        <w:t>粒度要求3mm-50mm：小于3mm的比例≤30%，大于50mm的比例≤10%，最大粒度不超过80mm，超过上述指标买方有权拒收；</w:t>
      </w:r>
    </w:p>
    <w:p>
      <w:pPr>
        <w:widowControl/>
        <w:numPr>
          <w:ilvl w:val="0"/>
          <w:numId w:val="0"/>
        </w:numPr>
        <w:snapToGrid w:val="0"/>
        <w:spacing w:line="360" w:lineRule="auto"/>
        <w:ind w:leftChars="100" w:firstLine="240" w:firstLineChars="100"/>
        <w:rPr>
          <w:rFonts w:hint="eastAsia" w:ascii="宋体" w:hAnsi="宋体" w:cs="宋体"/>
          <w:bCs/>
          <w:kern w:val="2"/>
          <w:sz w:val="24"/>
        </w:rPr>
      </w:pPr>
      <w:r>
        <w:rPr>
          <w:rFonts w:hint="eastAsia" w:ascii="宋体" w:hAnsi="宋体" w:cs="宋体"/>
          <w:bCs/>
          <w:kern w:val="2"/>
          <w:sz w:val="24"/>
          <w:lang w:val="en-US" w:eastAsia="zh-CN"/>
        </w:rPr>
        <w:t>9</w:t>
      </w:r>
      <w:r>
        <w:rPr>
          <w:rFonts w:hint="eastAsia" w:ascii="宋体" w:hAnsi="宋体" w:cs="宋体"/>
          <w:bCs/>
          <w:kern w:val="2"/>
          <w:sz w:val="24"/>
        </w:rPr>
        <w:t>)杂质</w:t>
      </w:r>
    </w:p>
    <w:p>
      <w:pPr>
        <w:widowControl/>
        <w:snapToGrid w:val="0"/>
        <w:spacing w:line="360" w:lineRule="auto"/>
        <w:ind w:leftChars="100" w:firstLine="240" w:firstLineChars="100"/>
        <w:rPr>
          <w:rFonts w:hint="eastAsia" w:ascii="宋体" w:hAnsi="宋体" w:cs="宋体"/>
          <w:bCs/>
          <w:sz w:val="24"/>
        </w:rPr>
      </w:pPr>
      <w:r>
        <w:rPr>
          <w:rFonts w:hint="eastAsia" w:ascii="宋体" w:hAnsi="宋体" w:cs="宋体"/>
          <w:bCs/>
          <w:kern w:val="2"/>
          <w:sz w:val="24"/>
        </w:rPr>
        <w:t>如果出现明显杂物及石头按照杂质实际重量的5倍扣除。</w:t>
      </w:r>
    </w:p>
    <w:p>
      <w:pPr>
        <w:widowControl/>
        <w:numPr>
          <w:ilvl w:val="0"/>
          <w:numId w:val="0"/>
        </w:numPr>
        <w:snapToGrid w:val="0"/>
        <w:spacing w:line="360" w:lineRule="auto"/>
        <w:ind w:leftChars="100" w:firstLine="240" w:firstLineChars="100"/>
        <w:rPr>
          <w:rFonts w:hint="eastAsia" w:ascii="宋体" w:hAnsi="宋体" w:cs="宋体"/>
          <w:bCs/>
          <w:kern w:val="2"/>
          <w:sz w:val="24"/>
        </w:rPr>
      </w:pPr>
      <w:r>
        <w:rPr>
          <w:rFonts w:hint="eastAsia" w:ascii="宋体" w:hAnsi="宋体" w:cs="宋体"/>
          <w:bCs/>
          <w:kern w:val="2"/>
          <w:sz w:val="24"/>
          <w:lang w:val="en-US" w:eastAsia="zh-CN"/>
        </w:rPr>
        <w:t>10</w:t>
      </w:r>
      <w:r>
        <w:rPr>
          <w:rFonts w:hint="eastAsia" w:ascii="宋体" w:hAnsi="宋体" w:cs="宋体"/>
          <w:bCs/>
          <w:kern w:val="2"/>
          <w:sz w:val="24"/>
          <w:lang w:eastAsia="zh-CN"/>
        </w:rPr>
        <w:t>）</w:t>
      </w:r>
      <w:r>
        <w:rPr>
          <w:rFonts w:hint="eastAsia" w:ascii="宋体" w:hAnsi="宋体" w:cs="宋体"/>
          <w:bCs/>
          <w:kern w:val="2"/>
          <w:sz w:val="24"/>
        </w:rPr>
        <w:t>数量</w:t>
      </w:r>
    </w:p>
    <w:p>
      <w:pPr>
        <w:widowControl/>
        <w:snapToGrid w:val="0"/>
        <w:spacing w:line="360" w:lineRule="auto"/>
        <w:ind w:leftChars="100" w:firstLine="240" w:firstLineChars="100"/>
        <w:rPr>
          <w:rFonts w:hint="eastAsia" w:ascii="宋体" w:hAnsi="宋体" w:cs="宋体"/>
          <w:bCs/>
          <w:kern w:val="2"/>
          <w:sz w:val="24"/>
        </w:rPr>
      </w:pPr>
      <w:r>
        <w:rPr>
          <w:rFonts w:hint="eastAsia" w:ascii="宋体" w:hAnsi="宋体" w:cs="宋体"/>
          <w:bCs/>
          <w:kern w:val="2"/>
          <w:sz w:val="24"/>
        </w:rPr>
        <w:t>按</w:t>
      </w:r>
      <w:r>
        <w:rPr>
          <w:rFonts w:hint="eastAsia" w:ascii="宋体" w:hAnsi="宋体" w:cs="宋体"/>
          <w:bCs/>
          <w:kern w:val="2"/>
          <w:sz w:val="24"/>
          <w:lang w:val="en-US" w:eastAsia="zh-CN"/>
        </w:rPr>
        <w:t>每批次订货通知单</w:t>
      </w:r>
      <w:r>
        <w:rPr>
          <w:rFonts w:hint="eastAsia" w:ascii="宋体" w:hAnsi="宋体" w:cs="宋体"/>
          <w:bCs/>
          <w:kern w:val="2"/>
          <w:sz w:val="24"/>
        </w:rPr>
        <w:t>数量的90%</w:t>
      </w:r>
      <w:r>
        <w:rPr>
          <w:rFonts w:hint="eastAsia" w:ascii="宋体" w:hAnsi="宋体" w:cs="宋体"/>
          <w:bCs/>
          <w:kern w:val="2"/>
          <w:sz w:val="24"/>
          <w:lang w:val="en-US" w:eastAsia="zh-CN"/>
        </w:rPr>
        <w:t>-110%交货</w:t>
      </w:r>
      <w:r>
        <w:rPr>
          <w:rFonts w:hint="eastAsia" w:ascii="宋体" w:hAnsi="宋体" w:cs="宋体"/>
          <w:bCs/>
          <w:kern w:val="2"/>
          <w:sz w:val="24"/>
        </w:rPr>
        <w:t>。</w:t>
      </w:r>
    </w:p>
    <w:p>
      <w:pPr>
        <w:widowControl/>
        <w:numPr>
          <w:ilvl w:val="0"/>
          <w:numId w:val="0"/>
        </w:numPr>
        <w:snapToGrid w:val="0"/>
        <w:spacing w:line="360" w:lineRule="auto"/>
        <w:ind w:leftChars="100" w:firstLine="240" w:firstLineChars="100"/>
        <w:rPr>
          <w:rFonts w:hint="eastAsia" w:ascii="宋体" w:hAnsi="宋体" w:cs="宋体"/>
          <w:bCs/>
          <w:kern w:val="2"/>
          <w:sz w:val="24"/>
        </w:rPr>
      </w:pPr>
      <w:r>
        <w:rPr>
          <w:rFonts w:hint="eastAsia" w:ascii="宋体" w:hAnsi="宋体" w:cs="宋体"/>
          <w:bCs/>
          <w:kern w:val="2"/>
          <w:sz w:val="24"/>
          <w:lang w:val="en-US" w:eastAsia="zh-CN"/>
        </w:rPr>
        <w:t>11</w:t>
      </w:r>
      <w:r>
        <w:rPr>
          <w:rFonts w:hint="eastAsia" w:ascii="宋体" w:hAnsi="宋体" w:cs="宋体"/>
          <w:bCs/>
          <w:kern w:val="2"/>
          <w:sz w:val="24"/>
        </w:rPr>
        <w:t>)</w:t>
      </w:r>
      <w:r>
        <w:rPr>
          <w:rFonts w:hint="eastAsia" w:ascii="宋体" w:hAnsi="宋体" w:cs="宋体"/>
          <w:bCs/>
          <w:kern w:val="2"/>
          <w:sz w:val="24"/>
          <w:lang w:val="en-US" w:eastAsia="zh-CN"/>
        </w:rPr>
        <w:t>若买方使用卖方所供煤炭后，我方对每批次煤炭燃烧产汽量进行统计，如吨煤产汽量低于当月的平均吨煤产汽量（折算标煤产汽量），我方有权暂停供货一次。</w:t>
      </w:r>
    </w:p>
    <w:p>
      <w:pPr>
        <w:widowControl/>
        <w:numPr>
          <w:ilvl w:val="0"/>
          <w:numId w:val="0"/>
        </w:numPr>
        <w:snapToGrid w:val="0"/>
        <w:spacing w:line="360" w:lineRule="auto"/>
        <w:ind w:leftChars="100" w:firstLine="240" w:firstLineChars="100"/>
        <w:rPr>
          <w:rFonts w:hint="eastAsia" w:ascii="宋体" w:hAnsi="宋体" w:cs="宋体"/>
          <w:bCs/>
          <w:kern w:val="2"/>
          <w:sz w:val="24"/>
        </w:rPr>
      </w:pPr>
      <w:r>
        <w:rPr>
          <w:rFonts w:hint="eastAsia" w:ascii="宋体" w:hAnsi="宋体" w:cs="宋体"/>
          <w:bCs/>
          <w:kern w:val="2"/>
          <w:sz w:val="24"/>
          <w:lang w:val="en-US" w:eastAsia="zh-CN"/>
        </w:rPr>
        <w:t>12</w:t>
      </w:r>
      <w:r>
        <w:rPr>
          <w:rFonts w:hint="eastAsia" w:ascii="宋体" w:hAnsi="宋体" w:cs="宋体"/>
          <w:bCs/>
          <w:kern w:val="2"/>
          <w:sz w:val="24"/>
          <w:lang w:eastAsia="zh-CN"/>
        </w:rPr>
        <w:t>）</w:t>
      </w:r>
      <w:r>
        <w:rPr>
          <w:rFonts w:hint="eastAsia" w:ascii="宋体" w:hAnsi="宋体" w:cs="宋体"/>
          <w:bCs/>
          <w:kern w:val="2"/>
          <w:sz w:val="24"/>
        </w:rPr>
        <w:t>对于买方拒收的货物，卖方按买方要求负责现场处理，如处理不及时，买方有权自行处理，所发生的费用全部由卖方承担。</w:t>
      </w:r>
    </w:p>
    <w:p>
      <w:pPr>
        <w:snapToGrid w:val="0"/>
        <w:spacing w:line="360" w:lineRule="auto"/>
        <w:ind w:leftChars="100" w:firstLine="240" w:firstLineChars="100"/>
        <w:rPr>
          <w:rFonts w:hint="eastAsia" w:ascii="宋体" w:hAnsi="宋体" w:cs="宋体"/>
          <w:bCs/>
          <w:smallCaps w:val="0"/>
          <w:kern w:val="2"/>
          <w:sz w:val="24"/>
          <w:szCs w:val="24"/>
        </w:rPr>
      </w:pPr>
      <w:r>
        <w:rPr>
          <w:rFonts w:hint="eastAsia" w:ascii="宋体" w:hAnsi="宋体" w:cs="宋体"/>
          <w:bCs/>
          <w:kern w:val="2"/>
          <w:sz w:val="24"/>
          <w:lang w:val="en-US" w:eastAsia="zh-CN"/>
        </w:rPr>
        <w:t>13</w:t>
      </w:r>
      <w:r>
        <w:rPr>
          <w:rFonts w:hint="eastAsia" w:ascii="宋体" w:hAnsi="宋体" w:cs="宋体"/>
          <w:bCs/>
          <w:kern w:val="2"/>
          <w:sz w:val="24"/>
        </w:rPr>
        <w:t>)</w:t>
      </w:r>
      <w:r>
        <w:rPr>
          <w:rFonts w:hint="eastAsia" w:ascii="宋体" w:hAnsi="宋体" w:cs="宋体"/>
          <w:bCs/>
          <w:smallCaps w:val="0"/>
          <w:kern w:val="2"/>
          <w:sz w:val="24"/>
          <w:szCs w:val="24"/>
        </w:rPr>
        <w:t>如因采购方生产需要变更技术指标的，以当批次订货通知单技术指标为准。</w:t>
      </w:r>
    </w:p>
    <w:p>
      <w:pPr>
        <w:widowControl/>
        <w:snapToGrid w:val="0"/>
        <w:spacing w:line="360" w:lineRule="auto"/>
        <w:ind w:firstLine="240" w:firstLineChars="100"/>
        <w:rPr>
          <w:rFonts w:hint="eastAsia" w:ascii="宋体" w:hAnsi="宋体" w:cs="宋体"/>
          <w:bCs/>
          <w:kern w:val="2"/>
          <w:sz w:val="24"/>
        </w:rPr>
      </w:pPr>
      <w:r>
        <w:rPr>
          <w:rFonts w:hint="eastAsia" w:ascii="宋体" w:hAnsi="宋体" w:cs="宋体"/>
          <w:bCs/>
          <w:kern w:val="2"/>
          <w:sz w:val="24"/>
        </w:rPr>
        <w:t>四、取样方式：</w:t>
      </w:r>
    </w:p>
    <w:p>
      <w:pPr>
        <w:widowControl/>
        <w:snapToGrid w:val="0"/>
        <w:spacing w:line="360" w:lineRule="auto"/>
        <w:ind w:firstLine="480" w:firstLineChars="200"/>
        <w:rPr>
          <w:rFonts w:hint="eastAsia" w:ascii="宋体" w:hAnsi="宋体" w:cs="宋体"/>
          <w:bCs/>
          <w:kern w:val="2"/>
          <w:sz w:val="24"/>
        </w:rPr>
      </w:pPr>
      <w:r>
        <w:rPr>
          <w:rFonts w:hint="eastAsia" w:ascii="宋体" w:hAnsi="宋体" w:cs="宋体"/>
          <w:bCs/>
          <w:kern w:val="2"/>
          <w:sz w:val="24"/>
          <w:lang w:val="en-US" w:eastAsia="zh-CN"/>
        </w:rPr>
        <w:t>买</w:t>
      </w:r>
      <w:r>
        <w:rPr>
          <w:rFonts w:hint="eastAsia" w:ascii="宋体" w:hAnsi="宋体" w:cs="宋体"/>
          <w:bCs/>
          <w:kern w:val="2"/>
          <w:sz w:val="24"/>
        </w:rPr>
        <w:t>方安排人员与</w:t>
      </w:r>
      <w:r>
        <w:rPr>
          <w:rFonts w:hint="eastAsia" w:ascii="宋体" w:hAnsi="宋体" w:cs="宋体"/>
          <w:bCs/>
          <w:kern w:val="2"/>
          <w:sz w:val="24"/>
          <w:lang w:val="en-US" w:eastAsia="zh-CN"/>
        </w:rPr>
        <w:t>卖</w:t>
      </w:r>
      <w:r>
        <w:rPr>
          <w:rFonts w:hint="eastAsia" w:ascii="宋体" w:hAnsi="宋体" w:cs="宋体"/>
          <w:bCs/>
          <w:kern w:val="2"/>
          <w:sz w:val="24"/>
        </w:rPr>
        <w:t>方共同取样，样品一式二份密封保存至</w:t>
      </w:r>
      <w:r>
        <w:rPr>
          <w:rFonts w:hint="eastAsia" w:ascii="宋体" w:hAnsi="宋体" w:cs="宋体"/>
          <w:bCs/>
          <w:kern w:val="2"/>
          <w:sz w:val="24"/>
          <w:lang w:val="en-US" w:eastAsia="zh-CN"/>
        </w:rPr>
        <w:t>买</w:t>
      </w:r>
      <w:r>
        <w:rPr>
          <w:rFonts w:hint="eastAsia" w:ascii="宋体" w:hAnsi="宋体" w:cs="宋体"/>
          <w:bCs/>
          <w:kern w:val="2"/>
          <w:sz w:val="24"/>
        </w:rPr>
        <w:t>方处，由</w:t>
      </w:r>
      <w:r>
        <w:rPr>
          <w:rFonts w:hint="eastAsia" w:ascii="宋体" w:hAnsi="宋体" w:cs="宋体"/>
          <w:bCs/>
          <w:kern w:val="2"/>
          <w:sz w:val="24"/>
          <w:lang w:val="en-US" w:eastAsia="zh-CN"/>
        </w:rPr>
        <w:t>买</w:t>
      </w:r>
      <w:r>
        <w:rPr>
          <w:rFonts w:hint="eastAsia" w:ascii="宋体" w:hAnsi="宋体" w:cs="宋体"/>
          <w:bCs/>
          <w:kern w:val="2"/>
          <w:sz w:val="24"/>
        </w:rPr>
        <w:t>方安排专业人员进行检测，出具检测报告，若</w:t>
      </w:r>
      <w:r>
        <w:rPr>
          <w:rFonts w:hint="eastAsia" w:ascii="宋体" w:hAnsi="宋体" w:cs="宋体"/>
          <w:bCs/>
          <w:kern w:val="2"/>
          <w:sz w:val="24"/>
          <w:lang w:val="en-US" w:eastAsia="zh-CN"/>
        </w:rPr>
        <w:t>卖</w:t>
      </w:r>
      <w:r>
        <w:rPr>
          <w:rFonts w:hint="eastAsia" w:ascii="宋体" w:hAnsi="宋体" w:cs="宋体"/>
          <w:bCs/>
          <w:kern w:val="2"/>
          <w:sz w:val="24"/>
        </w:rPr>
        <w:t>方对</w:t>
      </w:r>
      <w:r>
        <w:rPr>
          <w:rFonts w:hint="eastAsia" w:ascii="宋体" w:hAnsi="宋体" w:cs="宋体"/>
          <w:bCs/>
          <w:kern w:val="2"/>
          <w:sz w:val="24"/>
          <w:lang w:val="en-US" w:eastAsia="zh-CN"/>
        </w:rPr>
        <w:t>买</w:t>
      </w:r>
      <w:r>
        <w:rPr>
          <w:rFonts w:hint="eastAsia" w:ascii="宋体" w:hAnsi="宋体" w:cs="宋体"/>
          <w:bCs/>
          <w:kern w:val="2"/>
          <w:sz w:val="24"/>
        </w:rPr>
        <w:t>方的检测结果有异议的，应在三天内委托有资质的第三方或由</w:t>
      </w:r>
      <w:r>
        <w:rPr>
          <w:rFonts w:hint="eastAsia" w:ascii="宋体" w:hAnsi="宋体" w:cs="宋体"/>
          <w:bCs/>
          <w:kern w:val="2"/>
          <w:sz w:val="24"/>
          <w:lang w:val="en-US" w:eastAsia="zh-CN"/>
        </w:rPr>
        <w:t>买卖</w:t>
      </w:r>
      <w:r>
        <w:rPr>
          <w:rFonts w:hint="eastAsia" w:ascii="宋体" w:hAnsi="宋体" w:cs="宋体"/>
          <w:bCs/>
          <w:kern w:val="2"/>
          <w:sz w:val="24"/>
        </w:rPr>
        <w:t>双方派人共同见证检测，若检测结果与</w:t>
      </w:r>
      <w:r>
        <w:rPr>
          <w:rFonts w:hint="eastAsia" w:ascii="宋体" w:hAnsi="宋体" w:cs="宋体"/>
          <w:bCs/>
          <w:kern w:val="2"/>
          <w:sz w:val="24"/>
          <w:lang w:val="en-US" w:eastAsia="zh-CN"/>
        </w:rPr>
        <w:t>买</w:t>
      </w:r>
      <w:r>
        <w:rPr>
          <w:rFonts w:hint="eastAsia" w:ascii="宋体" w:hAnsi="宋体" w:cs="宋体"/>
          <w:bCs/>
          <w:kern w:val="2"/>
          <w:sz w:val="24"/>
        </w:rPr>
        <w:t>方检测结果差值小于等于100大卡的，以</w:t>
      </w:r>
      <w:r>
        <w:rPr>
          <w:rFonts w:hint="eastAsia" w:ascii="宋体" w:hAnsi="宋体" w:cs="宋体"/>
          <w:bCs/>
          <w:kern w:val="2"/>
          <w:sz w:val="24"/>
          <w:lang w:val="en-US" w:eastAsia="zh-CN"/>
        </w:rPr>
        <w:t>买</w:t>
      </w:r>
      <w:r>
        <w:rPr>
          <w:rFonts w:hint="eastAsia" w:ascii="宋体" w:hAnsi="宋体" w:cs="宋体"/>
          <w:bCs/>
          <w:kern w:val="2"/>
          <w:sz w:val="24"/>
        </w:rPr>
        <w:t>方检测结果为准，产生的检测费用由</w:t>
      </w:r>
      <w:r>
        <w:rPr>
          <w:rFonts w:hint="eastAsia" w:ascii="宋体" w:hAnsi="宋体" w:cs="宋体"/>
          <w:bCs/>
          <w:kern w:val="2"/>
          <w:sz w:val="24"/>
          <w:lang w:val="en-US" w:eastAsia="zh-CN"/>
        </w:rPr>
        <w:t>卖</w:t>
      </w:r>
      <w:r>
        <w:rPr>
          <w:rFonts w:hint="eastAsia" w:ascii="宋体" w:hAnsi="宋体" w:cs="宋体"/>
          <w:bCs/>
          <w:kern w:val="2"/>
          <w:sz w:val="24"/>
        </w:rPr>
        <w:t>方承担；若检测结果差值大于等于100大卡的，以复测结果为准，产生的费用由</w:t>
      </w:r>
      <w:r>
        <w:rPr>
          <w:rFonts w:hint="eastAsia" w:ascii="宋体" w:hAnsi="宋体" w:cs="宋体"/>
          <w:bCs/>
          <w:kern w:val="2"/>
          <w:sz w:val="24"/>
          <w:lang w:val="en-US" w:eastAsia="zh-CN"/>
        </w:rPr>
        <w:t>买</w:t>
      </w:r>
      <w:r>
        <w:rPr>
          <w:rFonts w:hint="eastAsia" w:ascii="宋体" w:hAnsi="宋体" w:cs="宋体"/>
          <w:bCs/>
          <w:kern w:val="2"/>
          <w:sz w:val="24"/>
        </w:rPr>
        <w:t>方承担。</w:t>
      </w:r>
    </w:p>
    <w:p>
      <w:pPr>
        <w:widowControl/>
        <w:snapToGrid w:val="0"/>
        <w:spacing w:line="360" w:lineRule="auto"/>
        <w:ind w:firstLine="240" w:firstLineChars="100"/>
        <w:rPr>
          <w:rFonts w:hint="eastAsia" w:ascii="宋体" w:hAnsi="宋体" w:cs="宋体"/>
          <w:bCs/>
          <w:kern w:val="2"/>
          <w:sz w:val="24"/>
        </w:rPr>
      </w:pPr>
      <w:r>
        <w:rPr>
          <w:rFonts w:hint="eastAsia" w:ascii="宋体" w:hAnsi="宋体" w:cs="宋体"/>
          <w:bCs/>
          <w:kern w:val="2"/>
          <w:sz w:val="24"/>
        </w:rPr>
        <w:t>五、付款方式及期限：</w:t>
      </w:r>
    </w:p>
    <w:p>
      <w:pPr>
        <w:widowControl/>
        <w:snapToGrid w:val="0"/>
        <w:spacing w:line="360" w:lineRule="auto"/>
        <w:ind w:left="0" w:firstLine="482" w:firstLineChars="200"/>
        <w:rPr>
          <w:rFonts w:hint="eastAsia" w:ascii="宋体" w:hAnsi="宋体" w:cs="宋体"/>
          <w:b/>
          <w:bCs w:val="0"/>
          <w:color w:val="0000FF"/>
          <w:kern w:val="2"/>
          <w:sz w:val="24"/>
        </w:rPr>
      </w:pPr>
      <w:r>
        <w:rPr>
          <w:rFonts w:hint="eastAsia" w:ascii="宋体" w:hAnsi="宋体" w:cs="宋体"/>
          <w:b/>
          <w:bCs w:val="0"/>
          <w:color w:val="0000FF"/>
          <w:kern w:val="2"/>
          <w:sz w:val="24"/>
        </w:rPr>
        <w:t>卖方在收到买方的结算清单后，凭化验报告、过磅单、结算清单、开具煤炭增值税专票，买方在收到卖方增值税专票后25日内付款。</w:t>
      </w:r>
    </w:p>
    <w:p>
      <w:pPr>
        <w:widowControl/>
        <w:snapToGrid w:val="0"/>
        <w:spacing w:line="360" w:lineRule="auto"/>
        <w:ind w:firstLine="240" w:firstLineChars="100"/>
        <w:rPr>
          <w:rFonts w:hint="eastAsia" w:ascii="宋体" w:hAnsi="宋体" w:cs="宋体"/>
          <w:bCs/>
          <w:kern w:val="2"/>
          <w:sz w:val="24"/>
        </w:rPr>
      </w:pPr>
      <w:r>
        <w:rPr>
          <w:rFonts w:hint="eastAsia" w:ascii="宋体" w:hAnsi="宋体" w:cs="宋体"/>
          <w:bCs/>
          <w:kern w:val="2"/>
          <w:sz w:val="24"/>
        </w:rPr>
        <w:t>六、违约责任</w:t>
      </w:r>
    </w:p>
    <w:p>
      <w:pPr>
        <w:widowControl/>
        <w:snapToGrid w:val="0"/>
        <w:spacing w:line="360" w:lineRule="auto"/>
        <w:ind w:firstLine="480" w:firstLineChars="200"/>
        <w:rPr>
          <w:rFonts w:hint="eastAsia" w:ascii="宋体" w:hAnsi="宋体" w:cs="宋体"/>
          <w:bCs/>
          <w:kern w:val="2"/>
          <w:sz w:val="24"/>
        </w:rPr>
      </w:pPr>
      <w:r>
        <w:rPr>
          <w:rFonts w:hint="eastAsia" w:ascii="宋体" w:hAnsi="宋体" w:cs="宋体"/>
          <w:bCs/>
          <w:kern w:val="2"/>
          <w:sz w:val="24"/>
        </w:rPr>
        <w:t>1、买卖双方未按合同约定履行合同义务的，应赔偿给对方造成的实际损失。</w:t>
      </w:r>
    </w:p>
    <w:p>
      <w:pPr>
        <w:widowControl/>
        <w:snapToGrid w:val="0"/>
        <w:spacing w:line="360" w:lineRule="auto"/>
        <w:ind w:left="0" w:firstLine="480" w:firstLineChars="200"/>
        <w:rPr>
          <w:rFonts w:hint="eastAsia" w:ascii="宋体" w:hAnsi="宋体" w:cs="宋体"/>
          <w:bCs/>
          <w:kern w:val="2"/>
          <w:sz w:val="24"/>
        </w:rPr>
      </w:pPr>
      <w:r>
        <w:rPr>
          <w:rFonts w:hint="eastAsia" w:ascii="宋体" w:hAnsi="宋体" w:cs="宋体"/>
          <w:bCs/>
          <w:kern w:val="2"/>
          <w:sz w:val="24"/>
        </w:rPr>
        <w:t>2、卖方未经买方同意不按约定时间供货的，每逾期一天卖方支付10元/吨的违约金。逾期10天以上的，买方有权解除合同。</w:t>
      </w:r>
    </w:p>
    <w:p>
      <w:pPr>
        <w:widowControl/>
        <w:snapToGrid w:val="0"/>
        <w:spacing w:line="360" w:lineRule="auto"/>
        <w:ind w:left="0" w:firstLine="480" w:firstLineChars="200"/>
        <w:rPr>
          <w:rFonts w:hint="eastAsia" w:ascii="宋体" w:hAnsi="宋体" w:cs="宋体"/>
          <w:bCs/>
          <w:kern w:val="2"/>
          <w:sz w:val="24"/>
        </w:rPr>
      </w:pPr>
      <w:r>
        <w:rPr>
          <w:rFonts w:hint="eastAsia" w:ascii="宋体" w:hAnsi="宋体" w:cs="宋体"/>
          <w:bCs/>
          <w:kern w:val="2"/>
          <w:sz w:val="24"/>
        </w:rPr>
        <w:t>3、卖方逾期交货或因质量不合格买方拒收的，均为卖方违约，由此给买方及关联单位造成损失的，卖方应承担赔偿责任。</w:t>
      </w:r>
    </w:p>
    <w:p>
      <w:pPr>
        <w:widowControl/>
        <w:snapToGrid w:val="0"/>
        <w:spacing w:line="360" w:lineRule="auto"/>
        <w:ind w:left="0" w:firstLine="480" w:firstLineChars="200"/>
        <w:rPr>
          <w:rFonts w:hint="eastAsia" w:ascii="宋体" w:hAnsi="宋体" w:cs="宋体"/>
          <w:bCs/>
          <w:kern w:val="2"/>
          <w:sz w:val="24"/>
        </w:rPr>
      </w:pPr>
      <w:r>
        <w:rPr>
          <w:rFonts w:hint="eastAsia" w:ascii="宋体" w:hAnsi="宋体" w:cs="宋体"/>
          <w:bCs/>
          <w:kern w:val="2"/>
          <w:sz w:val="24"/>
        </w:rPr>
        <w:t>4、合同签订3个月内，买方有权对卖方合同的执行力进行评估（供货及时性、服务质量和煤炭质量等），作出是否继续履行合同的决定。</w:t>
      </w:r>
    </w:p>
    <w:p>
      <w:pPr>
        <w:widowControl/>
        <w:snapToGrid w:val="0"/>
        <w:spacing w:line="360" w:lineRule="auto"/>
        <w:ind w:left="0" w:firstLine="240" w:firstLineChars="100"/>
        <w:rPr>
          <w:rFonts w:hint="eastAsia" w:ascii="宋体" w:hAnsi="宋体" w:cs="宋体"/>
          <w:bCs/>
          <w:kern w:val="2"/>
          <w:sz w:val="24"/>
        </w:rPr>
      </w:pPr>
      <w:r>
        <w:rPr>
          <w:rFonts w:hint="eastAsia" w:ascii="宋体" w:hAnsi="宋体" w:cs="宋体"/>
          <w:b w:val="0"/>
          <w:bCs/>
          <w:kern w:val="2"/>
          <w:sz w:val="24"/>
        </w:rPr>
        <w:t>七、报价价格组成:A价＋B价。</w:t>
      </w:r>
    </w:p>
    <w:p>
      <w:pPr>
        <w:widowControl/>
        <w:snapToGrid w:val="0"/>
        <w:spacing w:line="360" w:lineRule="auto"/>
        <w:ind w:left="210" w:leftChars="100" w:firstLine="240" w:firstLineChars="100"/>
        <w:rPr>
          <w:rFonts w:hint="eastAsia" w:ascii="宋体" w:hAnsi="宋体" w:cs="宋体"/>
          <w:bCs/>
          <w:kern w:val="2"/>
          <w:sz w:val="24"/>
        </w:rPr>
      </w:pPr>
      <w:r>
        <w:rPr>
          <w:rFonts w:hint="eastAsia" w:ascii="宋体" w:hAnsi="宋体" w:cs="宋体"/>
          <w:bCs/>
          <w:kern w:val="2"/>
          <w:sz w:val="24"/>
        </w:rPr>
        <w:t>A价为订货当日CCI指数动力煤</w:t>
      </w:r>
      <w:r>
        <w:rPr>
          <w:rFonts w:hint="eastAsia" w:ascii="宋体" w:hAnsi="宋体" w:cs="宋体"/>
          <w:bCs/>
          <w:kern w:val="2"/>
          <w:sz w:val="24"/>
          <w:lang w:val="en-US" w:eastAsia="zh-CN"/>
        </w:rPr>
        <w:t>50</w:t>
      </w:r>
      <w:r>
        <w:rPr>
          <w:rFonts w:hint="eastAsia" w:ascii="宋体" w:hAnsi="宋体" w:cs="宋体"/>
          <w:bCs/>
          <w:kern w:val="2"/>
          <w:sz w:val="24"/>
        </w:rPr>
        <w:t>00大卡均价，</w:t>
      </w:r>
    </w:p>
    <w:p>
      <w:pPr>
        <w:widowControl/>
        <w:snapToGrid w:val="0"/>
        <w:spacing w:line="360" w:lineRule="auto"/>
        <w:ind w:left="210" w:leftChars="100" w:firstLine="240" w:firstLineChars="100"/>
        <w:rPr>
          <w:rFonts w:hint="eastAsia" w:ascii="宋体" w:hAnsi="宋体" w:cs="宋体"/>
          <w:bCs/>
          <w:kern w:val="2"/>
          <w:sz w:val="24"/>
        </w:rPr>
      </w:pPr>
      <w:r>
        <w:rPr>
          <w:rFonts w:hint="eastAsia" w:ascii="宋体" w:hAnsi="宋体" w:cs="宋体"/>
          <w:bCs/>
          <w:kern w:val="2"/>
          <w:sz w:val="24"/>
        </w:rPr>
        <w:t>B价包括买方运费、港口费、吨位和大卡损耗、税金、买方资金成本及利润。</w:t>
      </w:r>
    </w:p>
    <w:p>
      <w:pPr>
        <w:widowControl/>
        <w:snapToGrid w:val="0"/>
        <w:spacing w:line="360" w:lineRule="auto"/>
        <w:ind w:left="210" w:leftChars="100" w:firstLine="240" w:firstLineChars="100"/>
        <w:rPr>
          <w:rFonts w:hint="eastAsia" w:ascii="宋体" w:hAnsi="宋体" w:cs="宋体"/>
          <w:bCs/>
          <w:kern w:val="2"/>
          <w:sz w:val="24"/>
        </w:rPr>
      </w:pPr>
      <w:r>
        <w:rPr>
          <w:rFonts w:hint="eastAsia" w:ascii="宋体" w:hAnsi="宋体" w:cs="宋体"/>
          <w:bCs/>
          <w:kern w:val="2"/>
          <w:sz w:val="24"/>
        </w:rPr>
        <w:t>A价为固定价格，卖方对B价进行核算报价。A+B价格为到英奇热电煤库一票制13%含税价。</w:t>
      </w:r>
    </w:p>
    <w:p>
      <w:pPr>
        <w:widowControl/>
        <w:snapToGrid w:val="0"/>
        <w:spacing w:line="360" w:lineRule="auto"/>
        <w:ind w:left="210" w:leftChars="100" w:firstLine="240" w:firstLineChars="100"/>
        <w:rPr>
          <w:rFonts w:hint="eastAsia" w:ascii="宋体" w:hAnsi="宋体" w:cs="宋体"/>
          <w:bCs/>
          <w:sz w:val="24"/>
        </w:rPr>
        <w:sectPr>
          <w:footerReference r:id="rId11" w:type="first"/>
          <w:footerReference r:id="rId10" w:type="default"/>
          <w:pgSz w:w="11906" w:h="16838"/>
          <w:pgMar w:top="1418" w:right="1588" w:bottom="1418" w:left="1365" w:header="851" w:footer="907" w:gutter="0"/>
          <w:cols w:space="720" w:num="1"/>
          <w:titlePg/>
          <w:docGrid w:type="lines" w:linePitch="290" w:charSpace="0"/>
        </w:sectPr>
      </w:pPr>
      <w:r>
        <w:rPr>
          <w:rFonts w:hint="eastAsia" w:ascii="宋体" w:hAnsi="宋体" w:cs="宋体"/>
          <w:bCs/>
          <w:kern w:val="2"/>
          <w:sz w:val="24"/>
        </w:rPr>
        <w:t>B价最高限价为</w:t>
      </w:r>
      <w:r>
        <w:rPr>
          <w:rFonts w:hint="eastAsia" w:ascii="宋体" w:hAnsi="宋体" w:cs="宋体"/>
          <w:bCs/>
          <w:kern w:val="2"/>
          <w:sz w:val="24"/>
          <w:highlight w:val="none"/>
        </w:rPr>
        <w:t>：</w:t>
      </w:r>
      <w:r>
        <w:rPr>
          <w:rFonts w:hint="eastAsia" w:ascii="宋体" w:hAnsi="宋体" w:cs="宋体"/>
          <w:bCs/>
          <w:kern w:val="2"/>
          <w:sz w:val="24"/>
          <w:highlight w:val="none"/>
          <w:u w:val="none"/>
        </w:rPr>
        <w:t xml:space="preserve"> </w:t>
      </w:r>
      <w:r>
        <w:rPr>
          <w:rFonts w:hint="eastAsia" w:ascii="宋体" w:hAnsi="宋体" w:cs="宋体"/>
          <w:bCs/>
          <w:kern w:val="2"/>
          <w:sz w:val="24"/>
          <w:highlight w:val="yellow"/>
          <w:u w:val="none"/>
        </w:rPr>
        <w:t>1</w:t>
      </w:r>
      <w:r>
        <w:rPr>
          <w:rFonts w:hint="eastAsia" w:ascii="宋体" w:hAnsi="宋体" w:cs="宋体"/>
          <w:bCs/>
          <w:kern w:val="2"/>
          <w:sz w:val="24"/>
          <w:highlight w:val="yellow"/>
          <w:u w:val="none"/>
          <w:lang w:val="en-US" w:eastAsia="zh-CN"/>
        </w:rPr>
        <w:t>4</w:t>
      </w:r>
      <w:r>
        <w:rPr>
          <w:rFonts w:hint="eastAsia" w:ascii="宋体" w:hAnsi="宋体" w:cs="宋体"/>
          <w:bCs/>
          <w:kern w:val="2"/>
          <w:sz w:val="24"/>
          <w:highlight w:val="yellow"/>
          <w:u w:val="none"/>
        </w:rPr>
        <w:t>0元</w:t>
      </w:r>
      <w:r>
        <w:rPr>
          <w:rFonts w:hint="eastAsia" w:ascii="宋体" w:hAnsi="宋体" w:cs="宋体"/>
          <w:bCs/>
          <w:kern w:val="2"/>
          <w:sz w:val="24"/>
        </w:rPr>
        <w:t>，超过最高限价为无效标。</w:t>
      </w:r>
    </w:p>
    <w:bookmarkEnd w:id="89"/>
    <w:bookmarkEnd w:id="90"/>
    <w:bookmarkEnd w:id="91"/>
    <w:bookmarkEnd w:id="92"/>
    <w:p>
      <w:pPr>
        <w:spacing w:before="78" w:beforeLines="25" w:after="78" w:afterLines="25"/>
        <w:ind w:firstLine="442"/>
        <w:jc w:val="center"/>
        <w:outlineLvl w:val="0"/>
        <w:rPr>
          <w:rFonts w:ascii="宋体" w:hAnsi="宋体" w:cs="宋体"/>
          <w:b/>
          <w:sz w:val="44"/>
          <w:szCs w:val="44"/>
        </w:rPr>
      </w:pPr>
      <w:bookmarkStart w:id="94" w:name="_Toc4275"/>
      <w:bookmarkStart w:id="95" w:name="_Toc17465"/>
      <w:bookmarkStart w:id="96" w:name="_Toc830"/>
      <w:bookmarkStart w:id="97" w:name="_Toc10381"/>
      <w:r>
        <w:rPr>
          <w:rFonts w:hint="eastAsia" w:ascii="宋体" w:hAnsi="宋体" w:cs="宋体"/>
          <w:b/>
          <w:sz w:val="44"/>
          <w:szCs w:val="44"/>
        </w:rPr>
        <w:t>第四章  合同主要条款</w:t>
      </w:r>
      <w:bookmarkEnd w:id="94"/>
      <w:bookmarkEnd w:id="95"/>
    </w:p>
    <w:bookmarkEnd w:id="96"/>
    <w:bookmarkEnd w:id="97"/>
    <w:p>
      <w:pPr>
        <w:spacing w:before="78" w:after="78" w:line="360" w:lineRule="auto"/>
        <w:ind w:firstLine="280"/>
        <w:jc w:val="center"/>
        <w:outlineLvl w:val="0"/>
        <w:rPr>
          <w:rFonts w:ascii="宋体" w:hAnsi="宋体" w:cs="宋体"/>
          <w:sz w:val="28"/>
          <w:szCs w:val="28"/>
        </w:rPr>
      </w:pPr>
    </w:p>
    <w:p>
      <w:pPr>
        <w:spacing w:before="78" w:after="78" w:line="360" w:lineRule="auto"/>
        <w:jc w:val="center"/>
        <w:outlineLvl w:val="0"/>
        <w:rPr>
          <w:rFonts w:ascii="宋体" w:hAnsi="宋体" w:cs="宋体"/>
          <w:sz w:val="24"/>
        </w:rPr>
      </w:pPr>
    </w:p>
    <w:p>
      <w:pPr>
        <w:spacing w:before="78" w:after="78" w:line="360" w:lineRule="auto"/>
        <w:jc w:val="center"/>
        <w:outlineLvl w:val="0"/>
        <w:rPr>
          <w:rFonts w:ascii="宋体" w:hAnsi="宋体" w:cs="宋体"/>
          <w:sz w:val="24"/>
        </w:rPr>
      </w:pPr>
    </w:p>
    <w:p>
      <w:pPr>
        <w:spacing w:before="78" w:after="78" w:line="360" w:lineRule="auto"/>
        <w:jc w:val="center"/>
        <w:outlineLvl w:val="0"/>
        <w:rPr>
          <w:rFonts w:ascii="宋体" w:hAnsi="宋体" w:cs="宋体"/>
          <w:sz w:val="24"/>
        </w:rPr>
      </w:pPr>
    </w:p>
    <w:p>
      <w:pPr>
        <w:spacing w:before="78" w:after="78" w:line="360" w:lineRule="auto"/>
        <w:ind w:firstLine="360"/>
        <w:jc w:val="center"/>
        <w:outlineLvl w:val="0"/>
        <w:rPr>
          <w:rFonts w:ascii="宋体" w:hAnsi="宋体" w:cs="宋体"/>
          <w:sz w:val="36"/>
          <w:szCs w:val="36"/>
        </w:rPr>
      </w:pPr>
      <w:r>
        <w:rPr>
          <w:rFonts w:hint="eastAsia" w:ascii="宋体" w:hAnsi="宋体" w:cs="宋体"/>
          <w:sz w:val="36"/>
          <w:szCs w:val="36"/>
        </w:rPr>
        <w:t>采购合同</w:t>
      </w:r>
    </w:p>
    <w:p>
      <w:pPr>
        <w:spacing w:before="78" w:after="78" w:line="360" w:lineRule="auto"/>
        <w:jc w:val="left"/>
        <w:outlineLvl w:val="0"/>
        <w:rPr>
          <w:rFonts w:ascii="宋体" w:hAnsi="宋体" w:cs="宋体"/>
          <w:sz w:val="24"/>
        </w:rPr>
      </w:pPr>
    </w:p>
    <w:p>
      <w:pPr>
        <w:spacing w:before="78" w:after="78" w:line="360" w:lineRule="auto"/>
        <w:jc w:val="left"/>
        <w:outlineLvl w:val="0"/>
        <w:rPr>
          <w:rFonts w:ascii="宋体" w:hAnsi="宋体" w:cs="宋体"/>
          <w:sz w:val="24"/>
        </w:rPr>
      </w:pPr>
    </w:p>
    <w:p>
      <w:pPr>
        <w:spacing w:before="78" w:after="78" w:line="360" w:lineRule="auto"/>
        <w:jc w:val="left"/>
        <w:outlineLvl w:val="0"/>
        <w:rPr>
          <w:rFonts w:ascii="宋体" w:hAnsi="宋体" w:cs="宋体"/>
          <w:sz w:val="24"/>
        </w:rPr>
      </w:pPr>
    </w:p>
    <w:p>
      <w:pPr>
        <w:spacing w:before="78" w:after="78" w:line="360" w:lineRule="auto"/>
        <w:ind w:firstLine="360"/>
        <w:jc w:val="center"/>
        <w:outlineLvl w:val="0"/>
        <w:rPr>
          <w:rFonts w:ascii="宋体" w:hAnsi="宋体" w:cs="宋体"/>
          <w:sz w:val="36"/>
          <w:szCs w:val="36"/>
        </w:rPr>
      </w:pPr>
      <w:r>
        <w:rPr>
          <w:rFonts w:hint="eastAsia" w:ascii="宋体" w:hAnsi="宋体" w:cs="宋体"/>
          <w:sz w:val="36"/>
          <w:szCs w:val="36"/>
        </w:rPr>
        <w:t>项目名称：</w:t>
      </w:r>
    </w:p>
    <w:p>
      <w:pPr>
        <w:spacing w:before="78" w:after="78" w:line="360" w:lineRule="auto"/>
        <w:jc w:val="left"/>
        <w:outlineLvl w:val="0"/>
        <w:rPr>
          <w:rFonts w:ascii="宋体" w:hAnsi="宋体" w:cs="宋体"/>
          <w:sz w:val="24"/>
        </w:rPr>
      </w:pPr>
    </w:p>
    <w:p>
      <w:pPr>
        <w:spacing w:before="78" w:after="78" w:line="360" w:lineRule="auto"/>
        <w:jc w:val="left"/>
        <w:outlineLvl w:val="0"/>
        <w:rPr>
          <w:rFonts w:ascii="宋体" w:hAnsi="宋体" w:cs="宋体"/>
          <w:sz w:val="24"/>
        </w:rPr>
      </w:pPr>
    </w:p>
    <w:p>
      <w:pPr>
        <w:spacing w:before="78" w:after="78" w:line="360" w:lineRule="auto"/>
        <w:ind w:firstLine="360"/>
        <w:jc w:val="center"/>
        <w:outlineLvl w:val="0"/>
        <w:rPr>
          <w:rFonts w:ascii="宋体" w:hAnsi="宋体" w:cs="宋体"/>
          <w:sz w:val="36"/>
          <w:szCs w:val="36"/>
        </w:rPr>
      </w:pPr>
    </w:p>
    <w:p>
      <w:pPr>
        <w:spacing w:before="78" w:after="78" w:line="360" w:lineRule="auto"/>
        <w:ind w:firstLine="360"/>
        <w:jc w:val="center"/>
        <w:outlineLvl w:val="0"/>
        <w:rPr>
          <w:rFonts w:ascii="宋体" w:hAnsi="宋体" w:cs="宋体"/>
          <w:sz w:val="36"/>
          <w:szCs w:val="36"/>
        </w:rPr>
      </w:pPr>
      <w:r>
        <w:rPr>
          <w:rFonts w:hint="eastAsia" w:ascii="宋体" w:hAnsi="宋体" w:cs="宋体"/>
          <w:sz w:val="36"/>
          <w:szCs w:val="36"/>
        </w:rPr>
        <w:t>甲方（采购人）：</w:t>
      </w:r>
    </w:p>
    <w:p>
      <w:pPr>
        <w:spacing w:before="78" w:after="78" w:line="360" w:lineRule="auto"/>
        <w:ind w:firstLine="360"/>
        <w:jc w:val="center"/>
        <w:outlineLvl w:val="0"/>
        <w:rPr>
          <w:rFonts w:ascii="宋体" w:hAnsi="宋体" w:cs="宋体"/>
          <w:sz w:val="36"/>
          <w:szCs w:val="36"/>
        </w:rPr>
      </w:pPr>
    </w:p>
    <w:p>
      <w:pPr>
        <w:spacing w:before="78" w:after="78" w:line="360" w:lineRule="auto"/>
        <w:ind w:firstLine="360"/>
        <w:jc w:val="center"/>
        <w:outlineLvl w:val="0"/>
        <w:rPr>
          <w:rFonts w:ascii="宋体" w:hAnsi="宋体" w:cs="宋体"/>
          <w:sz w:val="36"/>
          <w:szCs w:val="36"/>
        </w:rPr>
      </w:pPr>
      <w:r>
        <w:rPr>
          <w:rFonts w:hint="eastAsia" w:ascii="宋体" w:hAnsi="宋体" w:cs="宋体"/>
          <w:sz w:val="36"/>
          <w:szCs w:val="36"/>
        </w:rPr>
        <w:t>乙方（供应商）：</w:t>
      </w:r>
    </w:p>
    <w:p>
      <w:pPr>
        <w:spacing w:before="78" w:after="78" w:line="360" w:lineRule="auto"/>
        <w:ind w:firstLine="360"/>
        <w:jc w:val="center"/>
        <w:outlineLvl w:val="0"/>
        <w:rPr>
          <w:rFonts w:ascii="宋体" w:hAnsi="宋体" w:cs="宋体"/>
          <w:sz w:val="36"/>
          <w:szCs w:val="36"/>
        </w:rPr>
      </w:pPr>
    </w:p>
    <w:p>
      <w:pPr>
        <w:spacing w:before="78" w:after="78" w:line="360" w:lineRule="auto"/>
        <w:ind w:firstLine="360"/>
        <w:jc w:val="center"/>
        <w:outlineLvl w:val="0"/>
        <w:rPr>
          <w:rFonts w:ascii="宋体" w:hAnsi="宋体" w:cs="宋体"/>
          <w:sz w:val="36"/>
          <w:szCs w:val="36"/>
        </w:rPr>
      </w:pPr>
    </w:p>
    <w:p>
      <w:pPr>
        <w:spacing w:before="78" w:after="78" w:line="360" w:lineRule="auto"/>
        <w:ind w:firstLine="360"/>
        <w:jc w:val="center"/>
        <w:outlineLvl w:val="0"/>
        <w:rPr>
          <w:rFonts w:ascii="宋体" w:hAnsi="宋体" w:cs="宋体"/>
          <w:sz w:val="36"/>
          <w:szCs w:val="36"/>
        </w:rPr>
      </w:pPr>
      <w:r>
        <w:rPr>
          <w:rFonts w:hint="eastAsia" w:ascii="宋体" w:hAnsi="宋体" w:cs="宋体"/>
          <w:sz w:val="36"/>
          <w:szCs w:val="36"/>
        </w:rPr>
        <w:t>签署日期：       年       月   日</w:t>
      </w:r>
    </w:p>
    <w:p>
      <w:pPr>
        <w:spacing w:before="78" w:after="78" w:line="360" w:lineRule="auto"/>
        <w:jc w:val="left"/>
        <w:outlineLvl w:val="0"/>
        <w:rPr>
          <w:rFonts w:ascii="宋体" w:hAnsi="宋体" w:cs="宋体"/>
          <w:sz w:val="24"/>
        </w:rPr>
      </w:pPr>
    </w:p>
    <w:p>
      <w:pPr>
        <w:spacing w:before="78" w:after="78" w:line="360" w:lineRule="auto"/>
        <w:jc w:val="left"/>
        <w:outlineLvl w:val="0"/>
        <w:rPr>
          <w:rFonts w:ascii="宋体" w:hAnsi="宋体" w:cs="宋体"/>
          <w:sz w:val="24"/>
        </w:rPr>
      </w:pPr>
    </w:p>
    <w:p>
      <w:pPr>
        <w:pStyle w:val="49"/>
        <w:rPr>
          <w:color w:val="auto"/>
        </w:rPr>
      </w:pPr>
    </w:p>
    <w:p>
      <w:pPr>
        <w:spacing w:line="360" w:lineRule="auto"/>
        <w:jc w:val="left"/>
        <w:outlineLvl w:val="0"/>
        <w:rPr>
          <w:rFonts w:ascii="宋体" w:hAnsi="宋体" w:cs="宋体"/>
          <w:sz w:val="24"/>
        </w:rPr>
      </w:pPr>
      <w:r>
        <w:rPr>
          <w:rFonts w:hint="eastAsia" w:ascii="宋体" w:hAnsi="宋体" w:cs="宋体"/>
          <w:sz w:val="24"/>
        </w:rPr>
        <w:t>项目名称：</w:t>
      </w:r>
    </w:p>
    <w:p>
      <w:pPr>
        <w:spacing w:line="360" w:lineRule="auto"/>
        <w:jc w:val="left"/>
        <w:outlineLvl w:val="0"/>
        <w:rPr>
          <w:rFonts w:ascii="宋体" w:hAnsi="宋体" w:cs="宋体"/>
          <w:sz w:val="24"/>
        </w:rPr>
      </w:pPr>
      <w:r>
        <w:rPr>
          <w:rFonts w:hint="eastAsia" w:ascii="宋体" w:hAnsi="宋体" w:cs="宋体"/>
          <w:sz w:val="24"/>
        </w:rPr>
        <w:t>甲方（采购人）：（以下简称甲方）</w:t>
      </w:r>
    </w:p>
    <w:p>
      <w:pPr>
        <w:spacing w:line="360" w:lineRule="auto"/>
        <w:jc w:val="left"/>
        <w:outlineLvl w:val="0"/>
        <w:rPr>
          <w:rFonts w:ascii="宋体" w:hAnsi="宋体" w:cs="宋体"/>
          <w:sz w:val="24"/>
        </w:rPr>
      </w:pPr>
      <w:r>
        <w:rPr>
          <w:rFonts w:hint="eastAsia" w:ascii="宋体" w:hAnsi="宋体" w:cs="宋体"/>
          <w:sz w:val="24"/>
        </w:rPr>
        <w:t>乙方（供应商）：（本次招标的中标人，以下简称乙方）</w:t>
      </w:r>
    </w:p>
    <w:p>
      <w:pPr>
        <w:spacing w:line="360" w:lineRule="auto"/>
        <w:jc w:val="left"/>
        <w:outlineLvl w:val="0"/>
        <w:rPr>
          <w:rFonts w:ascii="宋体" w:hAnsi="宋体" w:cs="宋体"/>
          <w:sz w:val="24"/>
        </w:rPr>
      </w:pPr>
      <w:r>
        <w:rPr>
          <w:rFonts w:hint="eastAsia" w:ascii="宋体" w:hAnsi="宋体" w:cs="宋体"/>
          <w:sz w:val="24"/>
        </w:rPr>
        <w:t>为明确责任、履行约定，经甲乙双方商订如下煤炭买卖合同。</w:t>
      </w:r>
    </w:p>
    <w:p>
      <w:pPr>
        <w:pStyle w:val="23"/>
        <w:spacing w:before="0" w:beforeAutospacing="0" w:after="0" w:afterAutospacing="0" w:line="360" w:lineRule="auto"/>
      </w:pPr>
      <w:r>
        <w:rPr>
          <w:rStyle w:val="30"/>
        </w:rPr>
        <w:t>一、交货时间及数量</w:t>
      </w:r>
    </w:p>
    <w:p>
      <w:pPr>
        <w:pStyle w:val="23"/>
        <w:spacing w:before="0" w:beforeAutospacing="0" w:after="0" w:afterAutospacing="0" w:line="360" w:lineRule="auto"/>
        <w:ind w:firstLine="240"/>
        <w:rPr>
          <w:rFonts w:hint="default" w:eastAsia="宋体"/>
          <w:lang w:val="en-US" w:eastAsia="zh-CN"/>
        </w:rPr>
      </w:pPr>
      <w:r>
        <w:t>交货时间：</w:t>
      </w:r>
      <w:r>
        <w:rPr>
          <w:rFonts w:hint="eastAsia"/>
          <w:lang w:val="en-US" w:eastAsia="zh-CN"/>
        </w:rPr>
        <w:t>7天</w:t>
      </w:r>
    </w:p>
    <w:p>
      <w:pPr>
        <w:pStyle w:val="23"/>
        <w:spacing w:before="0" w:beforeAutospacing="0" w:after="0" w:afterAutospacing="0" w:line="360" w:lineRule="auto"/>
        <w:ind w:firstLine="240"/>
        <w:rPr>
          <w:rFonts w:hint="default" w:eastAsia="宋体"/>
          <w:lang w:val="en-US" w:eastAsia="zh-CN"/>
        </w:rPr>
      </w:pPr>
      <w:r>
        <w:t>交货数量：</w:t>
      </w:r>
      <w:r>
        <w:rPr>
          <w:rFonts w:hint="eastAsia"/>
          <w:lang w:val="en-US" w:eastAsia="zh-CN"/>
        </w:rPr>
        <w:t>2000吨/次</w:t>
      </w:r>
    </w:p>
    <w:p>
      <w:pPr>
        <w:pStyle w:val="23"/>
        <w:spacing w:before="0" w:beforeAutospacing="0" w:after="0" w:afterAutospacing="0" w:line="360" w:lineRule="auto"/>
      </w:pPr>
      <w:r>
        <w:rPr>
          <w:rStyle w:val="30"/>
        </w:rPr>
        <w:t>二、交货地点：</w:t>
      </w:r>
    </w:p>
    <w:p>
      <w:pPr>
        <w:pStyle w:val="23"/>
        <w:spacing w:before="0" w:beforeAutospacing="0" w:after="0" w:afterAutospacing="0" w:line="360" w:lineRule="auto"/>
      </w:pPr>
      <w:r>
        <w:t>　　</w:t>
      </w:r>
      <w:r>
        <w:rPr>
          <w:rFonts w:hint="eastAsia"/>
        </w:rPr>
        <w:t>江苏英奇热电有限公司煤库。</w:t>
      </w:r>
    </w:p>
    <w:p>
      <w:pPr>
        <w:pStyle w:val="23"/>
        <w:spacing w:before="0" w:beforeAutospacing="0" w:after="0" w:afterAutospacing="0" w:line="360" w:lineRule="auto"/>
        <w:rPr>
          <w:rStyle w:val="30"/>
        </w:rPr>
      </w:pPr>
      <w:r>
        <w:rPr>
          <w:rStyle w:val="30"/>
          <w:rFonts w:hint="eastAsia"/>
        </w:rPr>
        <w:t>三、</w:t>
      </w:r>
      <w:r>
        <w:rPr>
          <w:rStyle w:val="30"/>
        </w:rPr>
        <w:t>煤炭运输时间：</w:t>
      </w:r>
    </w:p>
    <w:p>
      <w:pPr>
        <w:pStyle w:val="23"/>
        <w:spacing w:before="0" w:beforeAutospacing="0" w:after="0" w:afterAutospacing="0" w:line="360" w:lineRule="auto"/>
        <w:ind w:firstLine="241"/>
        <w:rPr>
          <w:rStyle w:val="30"/>
        </w:rPr>
      </w:pPr>
    </w:p>
    <w:p>
      <w:pPr>
        <w:pStyle w:val="23"/>
        <w:spacing w:before="0" w:beforeAutospacing="0" w:after="0" w:afterAutospacing="0" w:line="360" w:lineRule="auto"/>
      </w:pPr>
      <w:r>
        <w:rPr>
          <w:rStyle w:val="30"/>
        </w:rPr>
        <w:t>四、质量要求</w:t>
      </w:r>
      <w:r>
        <w:rPr>
          <w:rStyle w:val="30"/>
          <w:rFonts w:hint="eastAsia"/>
          <w:lang w:val="en-US" w:eastAsia="zh-CN"/>
        </w:rPr>
        <w:t>及考核标准</w:t>
      </w:r>
      <w:r>
        <w:rPr>
          <w:rStyle w:val="30"/>
        </w:rPr>
        <w:t>：</w:t>
      </w:r>
    </w:p>
    <w:p>
      <w:pPr>
        <w:widowControl/>
        <w:snapToGrid w:val="0"/>
        <w:spacing w:line="360" w:lineRule="auto"/>
        <w:ind w:left="0" w:firstLine="240" w:firstLineChars="100"/>
        <w:rPr>
          <w:rFonts w:hint="eastAsia" w:ascii="宋体" w:hAnsi="宋体" w:cs="宋体"/>
          <w:bCs/>
          <w:kern w:val="2"/>
          <w:sz w:val="24"/>
        </w:rPr>
      </w:pPr>
      <w:r>
        <w:rPr>
          <w:rFonts w:hint="eastAsia" w:ascii="宋体" w:hAnsi="宋体" w:cs="宋体"/>
          <w:bCs/>
          <w:kern w:val="2"/>
          <w:sz w:val="24"/>
        </w:rPr>
        <w:t>1、煤炭质量基本要求：</w:t>
      </w:r>
    </w:p>
    <w:p>
      <w:pPr>
        <w:widowControl/>
        <w:snapToGrid w:val="0"/>
        <w:spacing w:line="360" w:lineRule="auto"/>
        <w:ind w:leftChars="200" w:firstLine="0" w:firstLineChars="0"/>
        <w:rPr>
          <w:rFonts w:hint="eastAsia" w:ascii="宋体" w:hAnsi="宋体" w:eastAsia="宋体" w:cs="宋体"/>
          <w:bCs/>
          <w:kern w:val="2"/>
          <w:sz w:val="24"/>
          <w:lang w:val="en-US" w:eastAsia="zh-CN"/>
        </w:rPr>
      </w:pPr>
      <w:r>
        <w:rPr>
          <w:rFonts w:hint="eastAsia" w:ascii="宋体" w:hAnsi="宋体" w:cs="宋体"/>
          <w:bCs/>
          <w:kern w:val="2"/>
          <w:sz w:val="24"/>
        </w:rPr>
        <w:t>1)收到基低位发热量</w:t>
      </w:r>
      <w:r>
        <w:rPr>
          <w:rFonts w:hint="eastAsia" w:ascii="宋体" w:hAnsi="宋体" w:cs="宋体"/>
          <w:bCs/>
          <w:kern w:val="2"/>
          <w:sz w:val="24"/>
          <w:highlight w:val="yellow"/>
          <w:lang w:val="en-US" w:eastAsia="zh-CN"/>
        </w:rPr>
        <w:t>5000</w:t>
      </w:r>
      <w:r>
        <w:rPr>
          <w:rFonts w:hint="eastAsia" w:ascii="宋体" w:hAnsi="宋体" w:cs="宋体"/>
          <w:bCs/>
          <w:kern w:val="2"/>
          <w:sz w:val="24"/>
        </w:rPr>
        <w:t>≤Qnet≤</w:t>
      </w:r>
      <w:r>
        <w:rPr>
          <w:rFonts w:hint="eastAsia" w:ascii="宋体" w:hAnsi="宋体" w:cs="宋体"/>
          <w:bCs/>
          <w:kern w:val="2"/>
          <w:sz w:val="24"/>
          <w:lang w:val="en-US" w:eastAsia="zh-CN"/>
        </w:rPr>
        <w:t>5200</w:t>
      </w:r>
      <w:r>
        <w:rPr>
          <w:rFonts w:hint="eastAsia" w:ascii="宋体" w:hAnsi="宋体" w:cs="宋体"/>
          <w:bCs/>
          <w:kern w:val="2"/>
          <w:sz w:val="24"/>
        </w:rPr>
        <w:t>kcal/kg；</w:t>
      </w:r>
    </w:p>
    <w:p>
      <w:pPr>
        <w:widowControl/>
        <w:snapToGrid w:val="0"/>
        <w:spacing w:line="360" w:lineRule="auto"/>
        <w:ind w:leftChars="200" w:firstLine="0" w:firstLineChars="0"/>
        <w:rPr>
          <w:rFonts w:hint="eastAsia" w:ascii="宋体" w:hAnsi="宋体" w:eastAsia="宋体" w:cs="宋体"/>
          <w:bCs/>
          <w:kern w:val="2"/>
          <w:sz w:val="24"/>
          <w:lang w:val="en-US" w:eastAsia="zh-CN"/>
        </w:rPr>
      </w:pPr>
      <w:r>
        <w:rPr>
          <w:rFonts w:hint="eastAsia" w:ascii="宋体" w:hAnsi="宋体" w:cs="宋体"/>
          <w:bCs/>
          <w:kern w:val="2"/>
          <w:sz w:val="24"/>
        </w:rPr>
        <w:t>2)全水分Mt %≤</w:t>
      </w:r>
      <w:r>
        <w:rPr>
          <w:rFonts w:hint="eastAsia" w:ascii="宋体" w:hAnsi="宋体" w:cs="宋体"/>
          <w:bCs/>
          <w:kern w:val="2"/>
          <w:sz w:val="24"/>
          <w:lang w:val="en-US" w:eastAsia="zh-CN"/>
        </w:rPr>
        <w:t>9</w:t>
      </w:r>
      <w:r>
        <w:rPr>
          <w:rFonts w:hint="eastAsia" w:ascii="宋体" w:hAnsi="宋体" w:cs="宋体"/>
          <w:bCs/>
          <w:kern w:val="2"/>
          <w:sz w:val="24"/>
        </w:rPr>
        <w:t>%；</w:t>
      </w:r>
    </w:p>
    <w:p>
      <w:pPr>
        <w:widowControl/>
        <w:snapToGrid w:val="0"/>
        <w:spacing w:line="360" w:lineRule="auto"/>
        <w:ind w:leftChars="200" w:firstLine="0" w:firstLineChars="0"/>
        <w:rPr>
          <w:rFonts w:hint="eastAsia" w:ascii="宋体" w:hAnsi="宋体" w:cs="宋体"/>
          <w:bCs/>
          <w:kern w:val="2"/>
          <w:sz w:val="24"/>
        </w:rPr>
      </w:pPr>
      <w:r>
        <w:rPr>
          <w:rFonts w:hint="eastAsia" w:ascii="宋体" w:hAnsi="宋体" w:cs="宋体"/>
          <w:bCs/>
          <w:kern w:val="2"/>
          <w:sz w:val="24"/>
        </w:rPr>
        <w:t>3)全硫St,ar≤0.</w:t>
      </w:r>
      <w:r>
        <w:rPr>
          <w:rFonts w:hint="eastAsia" w:ascii="宋体" w:hAnsi="宋体" w:cs="宋体"/>
          <w:bCs/>
          <w:kern w:val="2"/>
          <w:sz w:val="24"/>
          <w:lang w:val="en-US" w:eastAsia="zh-CN"/>
        </w:rPr>
        <w:t>8</w:t>
      </w:r>
      <w:r>
        <w:rPr>
          <w:rFonts w:hint="eastAsia" w:ascii="宋体" w:hAnsi="宋体" w:cs="宋体"/>
          <w:bCs/>
          <w:kern w:val="2"/>
          <w:sz w:val="24"/>
        </w:rPr>
        <w:t>%；</w:t>
      </w:r>
    </w:p>
    <w:p>
      <w:pPr>
        <w:widowControl/>
        <w:snapToGrid w:val="0"/>
        <w:spacing w:line="360" w:lineRule="auto"/>
        <w:ind w:leftChars="200" w:firstLine="0" w:firstLineChars="0"/>
        <w:rPr>
          <w:rFonts w:hint="eastAsia" w:ascii="宋体" w:hAnsi="宋体" w:cs="宋体"/>
          <w:bCs/>
          <w:kern w:val="2"/>
          <w:sz w:val="24"/>
        </w:rPr>
      </w:pPr>
      <w:r>
        <w:rPr>
          <w:rFonts w:hint="eastAsia" w:ascii="宋体" w:hAnsi="宋体" w:cs="宋体"/>
          <w:bCs/>
          <w:kern w:val="2"/>
          <w:sz w:val="24"/>
        </w:rPr>
        <w:t xml:space="preserve">4)灰分Aar% </w:t>
      </w:r>
      <w:r>
        <w:rPr>
          <w:rFonts w:hint="eastAsia" w:ascii="宋体" w:hAnsi="宋体" w:cs="宋体"/>
          <w:bCs/>
          <w:kern w:val="2"/>
          <w:sz w:val="24"/>
          <w:lang w:val="en-US" w:eastAsia="zh-CN"/>
        </w:rPr>
        <w:t>18</w:t>
      </w:r>
      <w:r>
        <w:rPr>
          <w:rFonts w:hint="eastAsia" w:ascii="宋体" w:hAnsi="宋体" w:cs="宋体"/>
          <w:bCs/>
          <w:kern w:val="2"/>
          <w:sz w:val="24"/>
        </w:rPr>
        <w:t>%～</w:t>
      </w:r>
      <w:r>
        <w:rPr>
          <w:rFonts w:hint="eastAsia" w:ascii="宋体" w:hAnsi="宋体" w:cs="宋体"/>
          <w:bCs/>
          <w:kern w:val="2"/>
          <w:sz w:val="24"/>
          <w:lang w:val="en-US" w:eastAsia="zh-CN"/>
        </w:rPr>
        <w:t>26</w:t>
      </w:r>
      <w:r>
        <w:rPr>
          <w:rFonts w:hint="eastAsia" w:ascii="宋体" w:hAnsi="宋体" w:cs="宋体"/>
          <w:bCs/>
          <w:kern w:val="2"/>
          <w:sz w:val="24"/>
        </w:rPr>
        <w:t>%；</w:t>
      </w:r>
    </w:p>
    <w:p>
      <w:pPr>
        <w:widowControl/>
        <w:snapToGrid w:val="0"/>
        <w:spacing w:line="360" w:lineRule="auto"/>
        <w:ind w:leftChars="200" w:firstLine="0" w:firstLineChars="0"/>
        <w:rPr>
          <w:rFonts w:hint="eastAsia" w:ascii="宋体" w:hAnsi="宋体" w:cs="宋体"/>
          <w:bCs/>
          <w:kern w:val="2"/>
          <w:sz w:val="24"/>
        </w:rPr>
      </w:pPr>
      <w:r>
        <w:rPr>
          <w:rFonts w:hint="eastAsia" w:ascii="宋体" w:hAnsi="宋体" w:cs="宋体"/>
          <w:bCs/>
          <w:kern w:val="2"/>
          <w:sz w:val="24"/>
        </w:rPr>
        <w:t>5)灰熔点T2≥1</w:t>
      </w:r>
      <w:r>
        <w:rPr>
          <w:rFonts w:hint="eastAsia" w:ascii="宋体" w:hAnsi="宋体" w:cs="宋体"/>
          <w:bCs/>
          <w:kern w:val="2"/>
          <w:sz w:val="24"/>
          <w:lang w:val="en-US" w:eastAsia="zh-CN"/>
        </w:rPr>
        <w:t>3</w:t>
      </w:r>
      <w:r>
        <w:rPr>
          <w:rFonts w:hint="eastAsia" w:ascii="宋体" w:hAnsi="宋体" w:cs="宋体"/>
          <w:bCs/>
          <w:kern w:val="2"/>
          <w:sz w:val="24"/>
        </w:rPr>
        <w:t>50℃；</w:t>
      </w:r>
    </w:p>
    <w:p>
      <w:pPr>
        <w:widowControl/>
        <w:snapToGrid w:val="0"/>
        <w:spacing w:line="360" w:lineRule="auto"/>
        <w:ind w:leftChars="200" w:firstLine="0" w:firstLineChars="0"/>
        <w:rPr>
          <w:rFonts w:hint="eastAsia" w:ascii="宋体" w:hAnsi="宋体" w:cs="宋体"/>
          <w:bCs/>
          <w:kern w:val="2"/>
          <w:sz w:val="24"/>
        </w:rPr>
      </w:pPr>
      <w:r>
        <w:rPr>
          <w:rFonts w:hint="eastAsia" w:ascii="宋体" w:hAnsi="宋体" w:cs="宋体"/>
          <w:bCs/>
          <w:kern w:val="2"/>
          <w:sz w:val="24"/>
        </w:rPr>
        <w:t>6)挥发份2</w:t>
      </w:r>
      <w:r>
        <w:rPr>
          <w:rFonts w:hint="eastAsia" w:ascii="宋体" w:hAnsi="宋体" w:cs="宋体"/>
          <w:bCs/>
          <w:kern w:val="2"/>
          <w:sz w:val="24"/>
          <w:lang w:val="en-US" w:eastAsia="zh-CN"/>
        </w:rPr>
        <w:t>0</w:t>
      </w:r>
      <w:r>
        <w:rPr>
          <w:rFonts w:hint="eastAsia" w:ascii="宋体" w:hAnsi="宋体" w:cs="宋体"/>
          <w:bCs/>
          <w:kern w:val="2"/>
          <w:sz w:val="24"/>
        </w:rPr>
        <w:t>%≤Var≤</w:t>
      </w:r>
      <w:r>
        <w:rPr>
          <w:rFonts w:hint="eastAsia" w:ascii="宋体" w:hAnsi="宋体" w:cs="宋体"/>
          <w:bCs/>
          <w:kern w:val="2"/>
          <w:sz w:val="24"/>
          <w:lang w:val="en-US" w:eastAsia="zh-CN"/>
        </w:rPr>
        <w:t>32</w:t>
      </w:r>
      <w:r>
        <w:rPr>
          <w:rFonts w:hint="eastAsia" w:ascii="宋体" w:hAnsi="宋体" w:cs="宋体"/>
          <w:bCs/>
          <w:kern w:val="2"/>
          <w:sz w:val="24"/>
        </w:rPr>
        <w:t>%；</w:t>
      </w:r>
    </w:p>
    <w:p>
      <w:pPr>
        <w:widowControl/>
        <w:snapToGrid w:val="0"/>
        <w:spacing w:line="360" w:lineRule="auto"/>
        <w:ind w:leftChars="200" w:firstLine="0" w:firstLineChars="0"/>
        <w:rPr>
          <w:rFonts w:hint="eastAsia" w:ascii="宋体" w:hAnsi="宋体" w:cs="宋体"/>
          <w:bCs/>
          <w:kern w:val="2"/>
          <w:sz w:val="24"/>
        </w:rPr>
      </w:pPr>
      <w:r>
        <w:rPr>
          <w:rFonts w:hint="eastAsia" w:ascii="宋体" w:hAnsi="宋体" w:cs="宋体"/>
          <w:bCs/>
          <w:kern w:val="2"/>
          <w:sz w:val="24"/>
        </w:rPr>
        <w:t>7)焦渣特性≤3；</w:t>
      </w:r>
    </w:p>
    <w:p>
      <w:pPr>
        <w:widowControl/>
        <w:snapToGrid w:val="0"/>
        <w:spacing w:line="360" w:lineRule="auto"/>
        <w:ind w:leftChars="200" w:firstLine="0" w:firstLineChars="0"/>
        <w:rPr>
          <w:rFonts w:hint="eastAsia" w:ascii="宋体" w:hAnsi="宋体" w:cs="宋体"/>
          <w:bCs/>
          <w:kern w:val="2"/>
          <w:sz w:val="24"/>
          <w:lang w:val="en-US" w:eastAsia="zh-CN"/>
        </w:rPr>
      </w:pPr>
      <w:r>
        <w:rPr>
          <w:rFonts w:hint="eastAsia" w:ascii="宋体" w:hAnsi="宋体" w:cs="宋体"/>
          <w:bCs/>
          <w:kern w:val="2"/>
          <w:sz w:val="24"/>
        </w:rPr>
        <w:t>8）</w:t>
      </w:r>
      <w:r>
        <w:rPr>
          <w:rFonts w:hint="eastAsia" w:ascii="宋体" w:hAnsi="宋体" w:cs="宋体"/>
          <w:bCs/>
          <w:kern w:val="2"/>
          <w:sz w:val="24"/>
          <w:lang w:val="en-US" w:eastAsia="zh-CN"/>
        </w:rPr>
        <w:t>粒度要求3mm-50mm：小于3mm的比例≤30%，大于50mm的比例≤10%，最大粒度不超过80mm，超过上述指标买方有权拒收；</w:t>
      </w:r>
    </w:p>
    <w:p>
      <w:pPr>
        <w:widowControl/>
        <w:snapToGrid w:val="0"/>
        <w:spacing w:line="360" w:lineRule="auto"/>
        <w:ind w:leftChars="200" w:firstLine="0" w:firstLineChars="0"/>
        <w:rPr>
          <w:rFonts w:hint="eastAsia" w:ascii="宋体" w:hAnsi="宋体" w:cs="宋体"/>
          <w:bCs/>
          <w:sz w:val="24"/>
        </w:rPr>
      </w:pPr>
      <w:r>
        <w:rPr>
          <w:rFonts w:hint="eastAsia" w:ascii="宋体" w:hAnsi="宋体" w:cs="宋体"/>
          <w:bCs/>
          <w:kern w:val="2"/>
          <w:sz w:val="24"/>
          <w:lang w:val="en-US" w:eastAsia="zh-CN"/>
        </w:rPr>
        <w:t>9）煤炭必须是原煤，不允许经过掺配。</w:t>
      </w:r>
    </w:p>
    <w:p>
      <w:pPr>
        <w:widowControl/>
        <w:snapToGrid w:val="0"/>
        <w:spacing w:line="360" w:lineRule="auto"/>
        <w:ind w:firstLine="240" w:firstLineChars="100"/>
        <w:rPr>
          <w:rFonts w:hint="eastAsia" w:ascii="宋体" w:hAnsi="宋体" w:cs="宋体"/>
          <w:bCs/>
          <w:kern w:val="2"/>
          <w:sz w:val="24"/>
        </w:rPr>
      </w:pPr>
      <w:r>
        <w:rPr>
          <w:rFonts w:hint="eastAsia" w:ascii="宋体" w:hAnsi="宋体" w:cs="宋体"/>
          <w:bCs/>
          <w:kern w:val="2"/>
          <w:sz w:val="24"/>
        </w:rPr>
        <w:t>2、指标考核：</w:t>
      </w:r>
    </w:p>
    <w:p>
      <w:pPr>
        <w:widowControl/>
        <w:snapToGrid w:val="0"/>
        <w:spacing w:line="360" w:lineRule="auto"/>
        <w:ind w:firstLine="480" w:firstLineChars="200"/>
        <w:rPr>
          <w:rFonts w:hint="eastAsia" w:ascii="宋体" w:hAnsi="宋体" w:cs="宋体"/>
          <w:bCs/>
          <w:kern w:val="2"/>
          <w:sz w:val="24"/>
        </w:rPr>
      </w:pPr>
      <w:r>
        <w:rPr>
          <w:rFonts w:hint="eastAsia" w:ascii="宋体" w:hAnsi="宋体" w:cs="宋体"/>
          <w:bCs/>
          <w:kern w:val="2"/>
          <w:sz w:val="24"/>
        </w:rPr>
        <w:t>1)热值</w:t>
      </w:r>
    </w:p>
    <w:p>
      <w:pPr>
        <w:widowControl/>
        <w:snapToGrid w:val="0"/>
        <w:spacing w:line="360" w:lineRule="auto"/>
        <w:ind w:firstLine="480" w:firstLineChars="200"/>
        <w:rPr>
          <w:rFonts w:hint="eastAsia" w:ascii="宋体" w:hAnsi="宋体" w:cs="宋体"/>
          <w:bCs/>
          <w:kern w:val="2"/>
          <w:sz w:val="24"/>
        </w:rPr>
      </w:pPr>
      <w:r>
        <w:rPr>
          <w:rFonts w:hint="eastAsia" w:ascii="宋体" w:hAnsi="宋体" w:cs="宋体"/>
          <w:bCs/>
          <w:kern w:val="2"/>
          <w:sz w:val="24"/>
          <w:lang w:val="en-US" w:eastAsia="zh-CN"/>
        </w:rPr>
        <w:t>当收到基低位发热量在5000-5200</w:t>
      </w:r>
      <w:r>
        <w:rPr>
          <w:rFonts w:hint="eastAsia" w:ascii="宋体" w:hAnsi="宋体" w:cs="宋体"/>
          <w:bCs/>
          <w:kern w:val="2"/>
          <w:sz w:val="24"/>
        </w:rPr>
        <w:t>kcal/kg</w:t>
      </w:r>
      <w:r>
        <w:rPr>
          <w:rFonts w:hint="eastAsia" w:ascii="宋体" w:hAnsi="宋体" w:cs="宋体"/>
          <w:bCs/>
          <w:kern w:val="2"/>
          <w:sz w:val="24"/>
          <w:lang w:val="en-US" w:eastAsia="zh-CN"/>
        </w:rPr>
        <w:t>之间时,结算按照热值单价（小数点后四位）×化验后的低位发热量，高于5200大卡以5200大卡结算；</w:t>
      </w:r>
      <w:r>
        <w:rPr>
          <w:rFonts w:hint="eastAsia" w:ascii="宋体" w:hAnsi="宋体" w:cs="宋体"/>
          <w:bCs/>
          <w:kern w:val="2"/>
          <w:sz w:val="24"/>
        </w:rPr>
        <w:t>当收到基低位发热量低于</w:t>
      </w:r>
      <w:r>
        <w:rPr>
          <w:rFonts w:hint="eastAsia" w:ascii="宋体" w:hAnsi="宋体" w:cs="宋体"/>
          <w:bCs/>
          <w:kern w:val="2"/>
          <w:sz w:val="24"/>
          <w:lang w:val="en-US" w:eastAsia="zh-CN"/>
        </w:rPr>
        <w:t>50</w:t>
      </w:r>
      <w:r>
        <w:rPr>
          <w:rFonts w:hint="eastAsia" w:ascii="宋体" w:hAnsi="宋体" w:cs="宋体"/>
          <w:bCs/>
          <w:kern w:val="2"/>
          <w:sz w:val="24"/>
        </w:rPr>
        <w:t>00kcal/kg时，买方有权拒绝接受该批次的煤炭。</w:t>
      </w:r>
    </w:p>
    <w:p>
      <w:pPr>
        <w:widowControl/>
        <w:numPr>
          <w:ilvl w:val="-1"/>
          <w:numId w:val="0"/>
        </w:numPr>
        <w:snapToGrid w:val="0"/>
        <w:spacing w:line="360" w:lineRule="auto"/>
        <w:ind w:firstLine="480" w:firstLineChars="200"/>
        <w:rPr>
          <w:rFonts w:hint="eastAsia" w:ascii="宋体" w:hAnsi="宋体" w:cs="宋体"/>
          <w:bCs/>
          <w:kern w:val="2"/>
          <w:sz w:val="24"/>
        </w:rPr>
      </w:pPr>
      <w:r>
        <w:rPr>
          <w:rFonts w:hint="eastAsia" w:ascii="宋体" w:hAnsi="宋体" w:cs="宋体"/>
          <w:bCs/>
          <w:kern w:val="2"/>
          <w:sz w:val="24"/>
          <w:lang w:val="en-US" w:eastAsia="zh-CN"/>
        </w:rPr>
        <w:t>2</w:t>
      </w:r>
      <w:r>
        <w:rPr>
          <w:rFonts w:hint="eastAsia" w:ascii="宋体" w:hAnsi="宋体" w:cs="宋体"/>
          <w:bCs/>
          <w:kern w:val="2"/>
          <w:sz w:val="24"/>
        </w:rPr>
        <w:t>)水分</w:t>
      </w:r>
    </w:p>
    <w:p>
      <w:pPr>
        <w:snapToGrid w:val="0"/>
        <w:spacing w:line="360" w:lineRule="auto"/>
        <w:ind w:firstLine="480" w:firstLineChars="200"/>
        <w:rPr>
          <w:rFonts w:hint="eastAsia" w:ascii="宋体" w:hAnsi="宋体" w:cs="宋体"/>
          <w:bCs/>
          <w:kern w:val="2"/>
          <w:sz w:val="24"/>
          <w:lang w:val="en-US" w:eastAsia="zh-CN"/>
        </w:rPr>
      </w:pPr>
      <w:r>
        <w:rPr>
          <w:rFonts w:hint="eastAsia" w:ascii="宋体" w:hAnsi="宋体" w:cs="宋体"/>
          <w:bCs/>
          <w:kern w:val="2"/>
          <w:sz w:val="24"/>
          <w:lang w:val="en-US" w:eastAsia="zh-CN"/>
        </w:rPr>
        <w:t>以9%为基准，超出9%的部分扣除相应吨位，即(实际全水分-9%)*实际交货量。</w:t>
      </w:r>
    </w:p>
    <w:p>
      <w:pPr>
        <w:widowControl/>
        <w:snapToGrid w:val="0"/>
        <w:spacing w:line="360" w:lineRule="auto"/>
        <w:ind w:firstLine="480" w:firstLineChars="200"/>
        <w:rPr>
          <w:rFonts w:hint="eastAsia" w:ascii="宋体" w:hAnsi="宋体" w:cs="宋体"/>
          <w:bCs/>
          <w:kern w:val="2"/>
          <w:sz w:val="24"/>
        </w:rPr>
      </w:pPr>
      <w:r>
        <w:rPr>
          <w:rFonts w:hint="eastAsia" w:ascii="宋体" w:hAnsi="宋体" w:cs="宋体"/>
          <w:bCs/>
          <w:kern w:val="2"/>
          <w:sz w:val="24"/>
        </w:rPr>
        <w:t>若卖方煤炭外表潮湿影响买方正常生产，买方有权拒收，造成的损失全部由卖方承担。</w:t>
      </w:r>
    </w:p>
    <w:p>
      <w:pPr>
        <w:widowControl/>
        <w:numPr>
          <w:ilvl w:val="0"/>
          <w:numId w:val="0"/>
        </w:numPr>
        <w:snapToGrid w:val="0"/>
        <w:spacing w:line="360" w:lineRule="auto"/>
        <w:ind w:left="210" w:leftChars="100" w:firstLine="240" w:firstLineChars="100"/>
        <w:rPr>
          <w:rFonts w:hint="eastAsia" w:ascii="宋体" w:hAnsi="宋体" w:cs="宋体"/>
          <w:bCs/>
          <w:kern w:val="2"/>
          <w:sz w:val="24"/>
          <w:lang w:val="en-US" w:eastAsia="zh-CN"/>
        </w:rPr>
      </w:pPr>
      <w:r>
        <w:rPr>
          <w:rFonts w:hint="eastAsia" w:ascii="宋体" w:hAnsi="宋体" w:cs="宋体"/>
          <w:bCs/>
          <w:kern w:val="2"/>
          <w:sz w:val="24"/>
          <w:lang w:val="en-US" w:eastAsia="zh-CN"/>
        </w:rPr>
        <w:t>3</w:t>
      </w:r>
      <w:r>
        <w:rPr>
          <w:rFonts w:hint="eastAsia" w:ascii="宋体" w:hAnsi="宋体" w:cs="宋体"/>
          <w:bCs/>
          <w:kern w:val="2"/>
          <w:sz w:val="24"/>
        </w:rPr>
        <w:t>)</w:t>
      </w:r>
      <w:r>
        <w:rPr>
          <w:rFonts w:hint="eastAsia" w:ascii="宋体" w:hAnsi="宋体" w:cs="宋体"/>
          <w:bCs/>
          <w:kern w:val="2"/>
          <w:sz w:val="24"/>
          <w:lang w:val="en-US" w:eastAsia="zh-CN"/>
        </w:rPr>
        <w:t>灰分</w:t>
      </w:r>
    </w:p>
    <w:p>
      <w:pPr>
        <w:snapToGrid w:val="0"/>
        <w:ind w:leftChars="100" w:firstLine="240" w:firstLineChars="100"/>
        <w:rPr>
          <w:rFonts w:hint="eastAsia" w:ascii="宋体" w:hAnsi="宋体" w:eastAsia="宋体" w:cs="宋体"/>
          <w:bCs/>
          <w:kern w:val="2"/>
          <w:position w:val="0"/>
          <w:sz w:val="24"/>
          <w:szCs w:val="24"/>
          <w:lang w:val="en-US" w:eastAsia="zh-CN" w:bidi="ar-SA"/>
        </w:rPr>
      </w:pPr>
      <w:r>
        <w:rPr>
          <w:rFonts w:hint="eastAsia" w:ascii="宋体" w:hAnsi="宋体" w:eastAsia="宋体" w:cs="宋体"/>
          <w:bCs/>
          <w:kern w:val="2"/>
          <w:position w:val="0"/>
          <w:sz w:val="24"/>
          <w:szCs w:val="24"/>
          <w:lang w:val="en-US" w:eastAsia="zh-CN" w:bidi="ar-SA"/>
        </w:rPr>
        <w:t>高于2</w:t>
      </w:r>
      <w:r>
        <w:rPr>
          <w:rFonts w:hint="eastAsia" w:ascii="宋体" w:hAnsi="宋体" w:cs="宋体"/>
          <w:bCs/>
          <w:kern w:val="2"/>
          <w:position w:val="0"/>
          <w:sz w:val="24"/>
          <w:szCs w:val="24"/>
          <w:lang w:val="en-US" w:eastAsia="zh-CN" w:bidi="ar-SA"/>
        </w:rPr>
        <w:t>6</w:t>
      </w:r>
      <w:r>
        <w:rPr>
          <w:rFonts w:hint="eastAsia" w:ascii="宋体" w:hAnsi="宋体" w:eastAsia="宋体" w:cs="宋体"/>
          <w:bCs/>
          <w:kern w:val="2"/>
          <w:position w:val="0"/>
          <w:sz w:val="24"/>
          <w:szCs w:val="24"/>
          <w:lang w:val="en-US" w:eastAsia="zh-CN" w:bidi="ar-SA"/>
        </w:rPr>
        <w:t>%每超1%扣合同单价5元/吨，＜1</w:t>
      </w:r>
      <w:r>
        <w:rPr>
          <w:rFonts w:hint="eastAsia" w:ascii="宋体" w:hAnsi="宋体" w:cs="宋体"/>
          <w:bCs/>
          <w:kern w:val="2"/>
          <w:position w:val="0"/>
          <w:sz w:val="24"/>
          <w:szCs w:val="24"/>
          <w:lang w:val="en-US" w:eastAsia="zh-CN" w:bidi="ar-SA"/>
        </w:rPr>
        <w:t>5%</w:t>
      </w:r>
      <w:r>
        <w:rPr>
          <w:rFonts w:hint="eastAsia" w:ascii="宋体" w:hAnsi="宋体" w:eastAsia="宋体" w:cs="宋体"/>
          <w:bCs/>
          <w:kern w:val="2"/>
          <w:position w:val="0"/>
          <w:sz w:val="24"/>
          <w:szCs w:val="24"/>
          <w:lang w:val="en-US" w:eastAsia="zh-CN" w:bidi="ar-SA"/>
        </w:rPr>
        <w:t>拒绝收货；</w:t>
      </w:r>
    </w:p>
    <w:p>
      <w:pPr>
        <w:widowControl/>
        <w:numPr>
          <w:ilvl w:val="0"/>
          <w:numId w:val="0"/>
        </w:numPr>
        <w:snapToGrid w:val="0"/>
        <w:spacing w:line="360" w:lineRule="auto"/>
        <w:ind w:leftChars="100" w:firstLine="240" w:firstLineChars="100"/>
        <w:rPr>
          <w:rFonts w:hint="eastAsia" w:ascii="宋体" w:hAnsi="宋体" w:cs="宋体"/>
          <w:bCs/>
          <w:kern w:val="2"/>
          <w:sz w:val="24"/>
        </w:rPr>
      </w:pPr>
      <w:r>
        <w:rPr>
          <w:rFonts w:hint="eastAsia" w:ascii="宋体" w:hAnsi="宋体" w:cs="宋体"/>
          <w:bCs/>
          <w:kern w:val="2"/>
          <w:sz w:val="24"/>
          <w:lang w:val="en-US" w:eastAsia="zh-CN"/>
        </w:rPr>
        <w:t>4</w:t>
      </w:r>
      <w:r>
        <w:rPr>
          <w:rFonts w:hint="eastAsia" w:ascii="宋体" w:hAnsi="宋体" w:cs="宋体"/>
          <w:bCs/>
          <w:kern w:val="2"/>
          <w:sz w:val="24"/>
        </w:rPr>
        <w:t>)硫分</w:t>
      </w:r>
    </w:p>
    <w:p>
      <w:pPr>
        <w:widowControl/>
        <w:snapToGrid w:val="0"/>
        <w:spacing w:line="360" w:lineRule="auto"/>
        <w:ind w:leftChars="100" w:firstLine="240" w:firstLineChars="100"/>
        <w:rPr>
          <w:rFonts w:hint="eastAsia" w:ascii="宋体" w:hAnsi="宋体" w:cs="宋体"/>
          <w:bCs/>
          <w:kern w:val="2"/>
          <w:sz w:val="24"/>
        </w:rPr>
      </w:pPr>
      <w:r>
        <w:rPr>
          <w:rFonts w:hint="eastAsia" w:ascii="宋体" w:hAnsi="宋体" w:cs="宋体"/>
          <w:bCs/>
          <w:kern w:val="2"/>
          <w:sz w:val="24"/>
          <w:lang w:val="en-US" w:eastAsia="zh-CN"/>
        </w:rPr>
        <w:t>以0.8%为基准，每超0.1%扣5元/吨，超过1%买方有权拒收。</w:t>
      </w:r>
    </w:p>
    <w:p>
      <w:pPr>
        <w:widowControl/>
        <w:numPr>
          <w:ilvl w:val="0"/>
          <w:numId w:val="0"/>
        </w:numPr>
        <w:snapToGrid w:val="0"/>
        <w:spacing w:line="360" w:lineRule="auto"/>
        <w:ind w:leftChars="100" w:firstLine="240" w:firstLineChars="100"/>
        <w:rPr>
          <w:rFonts w:hint="eastAsia" w:ascii="宋体" w:hAnsi="宋体" w:cs="宋体"/>
          <w:bCs/>
          <w:kern w:val="2"/>
          <w:sz w:val="24"/>
        </w:rPr>
      </w:pPr>
      <w:r>
        <w:rPr>
          <w:rFonts w:hint="eastAsia" w:ascii="宋体" w:hAnsi="宋体" w:cs="宋体"/>
          <w:bCs/>
          <w:kern w:val="2"/>
          <w:sz w:val="24"/>
          <w:lang w:val="en-US" w:eastAsia="zh-CN"/>
        </w:rPr>
        <w:t>5</w:t>
      </w:r>
      <w:r>
        <w:rPr>
          <w:rFonts w:hint="eastAsia" w:ascii="宋体" w:hAnsi="宋体" w:cs="宋体"/>
          <w:bCs/>
          <w:kern w:val="2"/>
          <w:sz w:val="24"/>
        </w:rPr>
        <w:t>)灰熔点</w:t>
      </w:r>
    </w:p>
    <w:p>
      <w:pPr>
        <w:widowControl/>
        <w:snapToGrid w:val="0"/>
        <w:spacing w:line="360" w:lineRule="auto"/>
        <w:ind w:leftChars="100" w:firstLine="240" w:firstLineChars="100"/>
        <w:rPr>
          <w:rFonts w:hint="eastAsia" w:ascii="宋体" w:hAnsi="宋体" w:cs="宋体"/>
          <w:bCs/>
          <w:kern w:val="2"/>
          <w:sz w:val="24"/>
        </w:rPr>
      </w:pPr>
      <w:r>
        <w:rPr>
          <w:rFonts w:hint="eastAsia" w:ascii="宋体" w:hAnsi="宋体" w:cs="宋体"/>
          <w:bCs/>
          <w:kern w:val="2"/>
          <w:sz w:val="24"/>
        </w:rPr>
        <w:t>当</w:t>
      </w:r>
      <w:r>
        <w:rPr>
          <w:rFonts w:hint="eastAsia" w:ascii="宋体" w:hAnsi="宋体" w:cs="宋体"/>
          <w:bCs/>
          <w:kern w:val="2"/>
          <w:sz w:val="24"/>
          <w:lang w:val="en-US" w:eastAsia="zh-CN"/>
        </w:rPr>
        <w:t>灰熔点＜1350</w:t>
      </w:r>
      <w:r>
        <w:rPr>
          <w:rFonts w:hint="eastAsia" w:ascii="宋体" w:hAnsi="宋体" w:cs="宋体"/>
          <w:bCs/>
          <w:kern w:val="2"/>
          <w:sz w:val="24"/>
        </w:rPr>
        <w:t>℃时，买方有权拒收。</w:t>
      </w:r>
    </w:p>
    <w:p>
      <w:pPr>
        <w:widowControl/>
        <w:numPr>
          <w:ilvl w:val="0"/>
          <w:numId w:val="0"/>
        </w:numPr>
        <w:snapToGrid w:val="0"/>
        <w:spacing w:line="360" w:lineRule="auto"/>
        <w:ind w:leftChars="100" w:firstLine="240" w:firstLineChars="100"/>
        <w:rPr>
          <w:rFonts w:hint="eastAsia" w:ascii="宋体" w:hAnsi="宋体" w:cs="宋体"/>
          <w:bCs/>
          <w:kern w:val="2"/>
          <w:sz w:val="24"/>
        </w:rPr>
      </w:pPr>
      <w:r>
        <w:rPr>
          <w:rFonts w:hint="eastAsia" w:ascii="宋体" w:hAnsi="宋体" w:cs="宋体"/>
          <w:bCs/>
          <w:kern w:val="2"/>
          <w:sz w:val="24"/>
          <w:lang w:val="en-US" w:eastAsia="zh-CN"/>
        </w:rPr>
        <w:t>6</w:t>
      </w:r>
      <w:r>
        <w:rPr>
          <w:rFonts w:hint="eastAsia" w:ascii="宋体" w:hAnsi="宋体" w:cs="宋体"/>
          <w:bCs/>
          <w:kern w:val="2"/>
          <w:sz w:val="24"/>
        </w:rPr>
        <w:t>)挥发分</w:t>
      </w:r>
    </w:p>
    <w:p>
      <w:pPr>
        <w:widowControl/>
        <w:snapToGrid w:val="0"/>
        <w:spacing w:line="360" w:lineRule="auto"/>
        <w:ind w:leftChars="100" w:firstLine="240" w:firstLineChars="100"/>
        <w:rPr>
          <w:rFonts w:hint="eastAsia" w:ascii="宋体" w:hAnsi="宋体" w:cs="宋体"/>
          <w:bCs/>
          <w:kern w:val="2"/>
          <w:sz w:val="24"/>
        </w:rPr>
      </w:pPr>
      <w:r>
        <w:rPr>
          <w:rFonts w:hint="eastAsia" w:ascii="宋体" w:hAnsi="宋体" w:cs="宋体"/>
          <w:bCs/>
          <w:kern w:val="2"/>
          <w:sz w:val="24"/>
          <w:lang w:val="en-US" w:eastAsia="zh-CN"/>
        </w:rPr>
        <w:t>挥发分</w:t>
      </w:r>
      <w:r>
        <w:rPr>
          <w:rFonts w:hint="eastAsia" w:ascii="宋体" w:hAnsi="宋体" w:cs="宋体"/>
          <w:bCs/>
          <w:kern w:val="2"/>
          <w:sz w:val="24"/>
        </w:rPr>
        <w:t>低于</w:t>
      </w:r>
      <w:r>
        <w:rPr>
          <w:rFonts w:hint="eastAsia" w:ascii="宋体" w:hAnsi="宋体" w:cs="宋体"/>
          <w:bCs/>
          <w:kern w:val="2"/>
          <w:sz w:val="24"/>
          <w:lang w:val="en-US" w:eastAsia="zh-CN"/>
        </w:rPr>
        <w:t>20</w:t>
      </w:r>
      <w:r>
        <w:rPr>
          <w:rFonts w:hint="eastAsia" w:ascii="宋体" w:hAnsi="宋体" w:cs="宋体"/>
          <w:bCs/>
          <w:kern w:val="2"/>
          <w:sz w:val="24"/>
        </w:rPr>
        <w:t>%时，</w:t>
      </w:r>
      <w:r>
        <w:rPr>
          <w:rFonts w:hint="eastAsia" w:ascii="宋体" w:hAnsi="宋体" w:cs="宋体"/>
          <w:bCs/>
          <w:kern w:val="2"/>
          <w:sz w:val="24"/>
          <w:lang w:val="en-US" w:eastAsia="zh-CN"/>
        </w:rPr>
        <w:t>每低1%扣</w:t>
      </w:r>
      <w:r>
        <w:rPr>
          <w:rFonts w:hint="eastAsia" w:ascii="宋体" w:hAnsi="宋体" w:cs="宋体"/>
          <w:bCs/>
          <w:kern w:val="2"/>
          <w:sz w:val="24"/>
        </w:rPr>
        <w:t>5元/吨</w:t>
      </w:r>
      <w:r>
        <w:rPr>
          <w:rFonts w:hint="eastAsia" w:ascii="宋体" w:hAnsi="宋体" w:cs="宋体"/>
          <w:bCs/>
          <w:kern w:val="2"/>
          <w:sz w:val="24"/>
          <w:lang w:eastAsia="zh-CN"/>
        </w:rPr>
        <w:t>；</w:t>
      </w:r>
      <w:r>
        <w:rPr>
          <w:rFonts w:hint="eastAsia" w:ascii="宋体" w:hAnsi="宋体" w:cs="宋体"/>
          <w:bCs/>
          <w:kern w:val="2"/>
          <w:sz w:val="24"/>
        </w:rPr>
        <w:t>如低于1</w:t>
      </w:r>
      <w:r>
        <w:rPr>
          <w:rFonts w:hint="eastAsia" w:ascii="宋体" w:hAnsi="宋体" w:cs="宋体"/>
          <w:bCs/>
          <w:kern w:val="2"/>
          <w:sz w:val="24"/>
          <w:lang w:val="en-US" w:eastAsia="zh-CN"/>
        </w:rPr>
        <w:t>8</w:t>
      </w:r>
      <w:r>
        <w:rPr>
          <w:rFonts w:hint="eastAsia" w:ascii="宋体" w:hAnsi="宋体" w:cs="宋体"/>
          <w:bCs/>
          <w:kern w:val="2"/>
          <w:sz w:val="24"/>
        </w:rPr>
        <w:t>%买方有权拒收。</w:t>
      </w:r>
    </w:p>
    <w:p>
      <w:pPr>
        <w:widowControl/>
        <w:numPr>
          <w:ilvl w:val="0"/>
          <w:numId w:val="0"/>
        </w:numPr>
        <w:snapToGrid w:val="0"/>
        <w:spacing w:line="360" w:lineRule="auto"/>
        <w:ind w:leftChars="100" w:firstLine="240" w:firstLineChars="100"/>
        <w:rPr>
          <w:rFonts w:hint="eastAsia" w:ascii="宋体" w:hAnsi="宋体" w:cs="宋体"/>
          <w:bCs/>
          <w:kern w:val="2"/>
          <w:sz w:val="24"/>
        </w:rPr>
      </w:pPr>
      <w:r>
        <w:rPr>
          <w:rFonts w:hint="eastAsia" w:ascii="宋体" w:hAnsi="宋体" w:cs="宋体"/>
          <w:bCs/>
          <w:kern w:val="2"/>
          <w:sz w:val="24"/>
          <w:lang w:val="en-US" w:eastAsia="zh-CN"/>
        </w:rPr>
        <w:t>7</w:t>
      </w:r>
      <w:r>
        <w:rPr>
          <w:rFonts w:hint="eastAsia" w:ascii="宋体" w:hAnsi="宋体" w:cs="宋体"/>
          <w:bCs/>
          <w:kern w:val="2"/>
          <w:sz w:val="24"/>
        </w:rPr>
        <w:t>)焦渣特征</w:t>
      </w:r>
    </w:p>
    <w:p>
      <w:pPr>
        <w:widowControl/>
        <w:snapToGrid w:val="0"/>
        <w:spacing w:line="360" w:lineRule="auto"/>
        <w:ind w:leftChars="100" w:firstLine="240" w:firstLineChars="100"/>
        <w:rPr>
          <w:rFonts w:hint="eastAsia" w:ascii="宋体" w:hAnsi="宋体" w:cs="宋体"/>
          <w:bCs/>
          <w:kern w:val="2"/>
          <w:sz w:val="24"/>
        </w:rPr>
      </w:pPr>
      <w:r>
        <w:rPr>
          <w:rFonts w:hint="eastAsia" w:ascii="宋体" w:hAnsi="宋体" w:cs="宋体"/>
          <w:bCs/>
          <w:kern w:val="2"/>
          <w:sz w:val="24"/>
        </w:rPr>
        <w:t>焦渣特征</w:t>
      </w:r>
      <w:r>
        <w:rPr>
          <w:rFonts w:hint="eastAsia" w:ascii="宋体" w:hAnsi="宋体" w:cs="宋体"/>
          <w:bCs/>
          <w:kern w:val="2"/>
          <w:sz w:val="24"/>
          <w:lang w:val="en-US" w:eastAsia="zh-CN"/>
        </w:rPr>
        <w:t>超过3号，影响买方锅炉正常使用，</w:t>
      </w:r>
      <w:r>
        <w:rPr>
          <w:rFonts w:hint="eastAsia" w:ascii="宋体" w:hAnsi="宋体" w:cs="宋体"/>
          <w:bCs/>
          <w:kern w:val="2"/>
          <w:sz w:val="24"/>
        </w:rPr>
        <w:t>买方有权拒绝接受该批次的煤炭。</w:t>
      </w:r>
    </w:p>
    <w:p>
      <w:pPr>
        <w:widowControl/>
        <w:numPr>
          <w:ilvl w:val="0"/>
          <w:numId w:val="0"/>
        </w:numPr>
        <w:snapToGrid w:val="0"/>
        <w:spacing w:line="360" w:lineRule="auto"/>
        <w:ind w:leftChars="100" w:firstLine="240" w:firstLineChars="100"/>
        <w:rPr>
          <w:rFonts w:hint="eastAsia" w:ascii="宋体" w:hAnsi="宋体" w:cs="宋体"/>
          <w:bCs/>
          <w:kern w:val="2"/>
          <w:sz w:val="24"/>
        </w:rPr>
      </w:pPr>
      <w:r>
        <w:rPr>
          <w:rFonts w:hint="eastAsia" w:ascii="宋体" w:hAnsi="宋体" w:cs="宋体"/>
          <w:bCs/>
          <w:kern w:val="2"/>
          <w:sz w:val="24"/>
          <w:lang w:val="en-US" w:eastAsia="zh-CN"/>
        </w:rPr>
        <w:t>8</w:t>
      </w:r>
      <w:r>
        <w:rPr>
          <w:rFonts w:hint="eastAsia" w:ascii="宋体" w:hAnsi="宋体" w:cs="宋体"/>
          <w:bCs/>
          <w:kern w:val="2"/>
          <w:sz w:val="24"/>
        </w:rPr>
        <w:t>)粒度</w:t>
      </w:r>
    </w:p>
    <w:p>
      <w:pPr>
        <w:widowControl/>
        <w:snapToGrid w:val="0"/>
        <w:spacing w:line="360" w:lineRule="auto"/>
        <w:ind w:leftChars="100" w:firstLine="240" w:firstLineChars="100"/>
        <w:rPr>
          <w:rFonts w:hint="eastAsia" w:ascii="宋体" w:hAnsi="宋体" w:cs="宋体"/>
          <w:bCs/>
          <w:kern w:val="2"/>
          <w:sz w:val="24"/>
          <w:lang w:val="en-US" w:eastAsia="zh-CN"/>
        </w:rPr>
      </w:pPr>
      <w:r>
        <w:rPr>
          <w:rFonts w:hint="eastAsia" w:ascii="宋体" w:hAnsi="宋体" w:cs="宋体"/>
          <w:bCs/>
          <w:kern w:val="2"/>
          <w:sz w:val="24"/>
          <w:lang w:val="en-US" w:eastAsia="zh-CN"/>
        </w:rPr>
        <w:t>粒度要求3mm-50mm：小于3mm的比例≤30%，大于50mm的比例≤10%，最大粒度不超过80mm，超过上述指标买方有权拒收；</w:t>
      </w:r>
    </w:p>
    <w:p>
      <w:pPr>
        <w:widowControl/>
        <w:numPr>
          <w:ilvl w:val="0"/>
          <w:numId w:val="0"/>
        </w:numPr>
        <w:snapToGrid w:val="0"/>
        <w:spacing w:line="360" w:lineRule="auto"/>
        <w:ind w:leftChars="100" w:firstLine="240" w:firstLineChars="100"/>
        <w:rPr>
          <w:rFonts w:hint="eastAsia" w:ascii="宋体" w:hAnsi="宋体" w:cs="宋体"/>
          <w:bCs/>
          <w:kern w:val="2"/>
          <w:sz w:val="24"/>
        </w:rPr>
      </w:pPr>
      <w:r>
        <w:rPr>
          <w:rFonts w:hint="eastAsia" w:ascii="宋体" w:hAnsi="宋体" w:cs="宋体"/>
          <w:bCs/>
          <w:kern w:val="2"/>
          <w:sz w:val="24"/>
          <w:lang w:val="en-US" w:eastAsia="zh-CN"/>
        </w:rPr>
        <w:t>9</w:t>
      </w:r>
      <w:r>
        <w:rPr>
          <w:rFonts w:hint="eastAsia" w:ascii="宋体" w:hAnsi="宋体" w:cs="宋体"/>
          <w:bCs/>
          <w:kern w:val="2"/>
          <w:sz w:val="24"/>
        </w:rPr>
        <w:t>)杂质</w:t>
      </w:r>
    </w:p>
    <w:p>
      <w:pPr>
        <w:widowControl/>
        <w:snapToGrid w:val="0"/>
        <w:spacing w:line="360" w:lineRule="auto"/>
        <w:ind w:leftChars="100" w:firstLine="240" w:firstLineChars="100"/>
        <w:rPr>
          <w:rFonts w:hint="eastAsia" w:ascii="宋体" w:hAnsi="宋体" w:cs="宋体"/>
          <w:bCs/>
          <w:sz w:val="24"/>
        </w:rPr>
      </w:pPr>
      <w:r>
        <w:rPr>
          <w:rFonts w:hint="eastAsia" w:ascii="宋体" w:hAnsi="宋体" w:cs="宋体"/>
          <w:bCs/>
          <w:kern w:val="2"/>
          <w:sz w:val="24"/>
        </w:rPr>
        <w:t>如果出现明显杂物及石头按照杂质实际重量的5倍扣除。</w:t>
      </w:r>
    </w:p>
    <w:p>
      <w:pPr>
        <w:widowControl/>
        <w:numPr>
          <w:ilvl w:val="0"/>
          <w:numId w:val="0"/>
        </w:numPr>
        <w:snapToGrid w:val="0"/>
        <w:spacing w:line="360" w:lineRule="auto"/>
        <w:ind w:leftChars="100" w:firstLine="240" w:firstLineChars="100"/>
        <w:rPr>
          <w:rFonts w:hint="eastAsia" w:ascii="宋体" w:hAnsi="宋体" w:cs="宋体"/>
          <w:bCs/>
          <w:kern w:val="2"/>
          <w:sz w:val="24"/>
        </w:rPr>
      </w:pPr>
      <w:r>
        <w:rPr>
          <w:rFonts w:hint="eastAsia" w:ascii="宋体" w:hAnsi="宋体" w:cs="宋体"/>
          <w:bCs/>
          <w:kern w:val="2"/>
          <w:sz w:val="24"/>
          <w:lang w:val="en-US" w:eastAsia="zh-CN"/>
        </w:rPr>
        <w:t>10</w:t>
      </w:r>
      <w:r>
        <w:rPr>
          <w:rFonts w:hint="eastAsia" w:ascii="宋体" w:hAnsi="宋体" w:cs="宋体"/>
          <w:bCs/>
          <w:kern w:val="2"/>
          <w:sz w:val="24"/>
          <w:lang w:eastAsia="zh-CN"/>
        </w:rPr>
        <w:t>）</w:t>
      </w:r>
      <w:r>
        <w:rPr>
          <w:rFonts w:hint="eastAsia" w:ascii="宋体" w:hAnsi="宋体" w:cs="宋体"/>
          <w:bCs/>
          <w:kern w:val="2"/>
          <w:sz w:val="24"/>
        </w:rPr>
        <w:t>数量</w:t>
      </w:r>
    </w:p>
    <w:p>
      <w:pPr>
        <w:widowControl/>
        <w:snapToGrid w:val="0"/>
        <w:spacing w:line="360" w:lineRule="auto"/>
        <w:ind w:leftChars="100" w:firstLine="240" w:firstLineChars="100"/>
        <w:rPr>
          <w:rFonts w:hint="eastAsia" w:ascii="宋体" w:hAnsi="宋体" w:cs="宋体"/>
          <w:bCs/>
          <w:kern w:val="2"/>
          <w:sz w:val="24"/>
        </w:rPr>
      </w:pPr>
      <w:r>
        <w:rPr>
          <w:rFonts w:hint="eastAsia" w:ascii="宋体" w:hAnsi="宋体" w:cs="宋体"/>
          <w:bCs/>
          <w:kern w:val="2"/>
          <w:sz w:val="24"/>
        </w:rPr>
        <w:t>按</w:t>
      </w:r>
      <w:r>
        <w:rPr>
          <w:rFonts w:hint="eastAsia" w:ascii="宋体" w:hAnsi="宋体" w:cs="宋体"/>
          <w:bCs/>
          <w:kern w:val="2"/>
          <w:sz w:val="24"/>
          <w:lang w:val="en-US" w:eastAsia="zh-CN"/>
        </w:rPr>
        <w:t>每批次订货通知单</w:t>
      </w:r>
      <w:r>
        <w:rPr>
          <w:rFonts w:hint="eastAsia" w:ascii="宋体" w:hAnsi="宋体" w:cs="宋体"/>
          <w:bCs/>
          <w:kern w:val="2"/>
          <w:sz w:val="24"/>
        </w:rPr>
        <w:t>数量的90%</w:t>
      </w:r>
      <w:r>
        <w:rPr>
          <w:rFonts w:hint="eastAsia" w:ascii="宋体" w:hAnsi="宋体" w:cs="宋体"/>
          <w:bCs/>
          <w:kern w:val="2"/>
          <w:sz w:val="24"/>
          <w:lang w:val="en-US" w:eastAsia="zh-CN"/>
        </w:rPr>
        <w:t>-110%交货</w:t>
      </w:r>
      <w:r>
        <w:rPr>
          <w:rFonts w:hint="eastAsia" w:ascii="宋体" w:hAnsi="宋体" w:cs="宋体"/>
          <w:bCs/>
          <w:kern w:val="2"/>
          <w:sz w:val="24"/>
        </w:rPr>
        <w:t>。</w:t>
      </w:r>
    </w:p>
    <w:p>
      <w:pPr>
        <w:widowControl/>
        <w:numPr>
          <w:ilvl w:val="0"/>
          <w:numId w:val="0"/>
        </w:numPr>
        <w:snapToGrid w:val="0"/>
        <w:spacing w:line="360" w:lineRule="auto"/>
        <w:ind w:leftChars="100" w:firstLine="240" w:firstLineChars="100"/>
        <w:rPr>
          <w:rFonts w:hint="eastAsia" w:ascii="宋体" w:hAnsi="宋体" w:cs="宋体"/>
          <w:bCs/>
          <w:kern w:val="2"/>
          <w:sz w:val="24"/>
        </w:rPr>
      </w:pPr>
      <w:r>
        <w:rPr>
          <w:rFonts w:hint="eastAsia" w:ascii="宋体" w:hAnsi="宋体" w:cs="宋体"/>
          <w:bCs/>
          <w:kern w:val="2"/>
          <w:sz w:val="24"/>
          <w:lang w:val="en-US" w:eastAsia="zh-CN"/>
        </w:rPr>
        <w:t>11</w:t>
      </w:r>
      <w:r>
        <w:rPr>
          <w:rFonts w:hint="eastAsia" w:ascii="宋体" w:hAnsi="宋体" w:cs="宋体"/>
          <w:bCs/>
          <w:kern w:val="2"/>
          <w:sz w:val="24"/>
        </w:rPr>
        <w:t>)</w:t>
      </w:r>
      <w:r>
        <w:rPr>
          <w:rFonts w:hint="eastAsia" w:ascii="宋体" w:hAnsi="宋体" w:cs="宋体"/>
          <w:bCs/>
          <w:kern w:val="2"/>
          <w:sz w:val="24"/>
          <w:lang w:val="en-US" w:eastAsia="zh-CN"/>
        </w:rPr>
        <w:t>若买方使用卖方所供煤炭后，我方对每批次煤炭燃烧产汽量进行统计，如吨煤产汽量低于当月的平均吨煤产汽量（折算标煤产汽量），我方有权暂停供货一次。</w:t>
      </w:r>
    </w:p>
    <w:p>
      <w:pPr>
        <w:widowControl/>
        <w:numPr>
          <w:ilvl w:val="0"/>
          <w:numId w:val="0"/>
        </w:numPr>
        <w:snapToGrid w:val="0"/>
        <w:spacing w:line="360" w:lineRule="auto"/>
        <w:ind w:leftChars="100" w:firstLine="240" w:firstLineChars="100"/>
        <w:rPr>
          <w:rFonts w:hint="eastAsia" w:ascii="宋体" w:hAnsi="宋体" w:cs="宋体"/>
          <w:bCs/>
          <w:kern w:val="2"/>
          <w:sz w:val="24"/>
        </w:rPr>
      </w:pPr>
      <w:r>
        <w:rPr>
          <w:rFonts w:hint="eastAsia" w:ascii="宋体" w:hAnsi="宋体" w:cs="宋体"/>
          <w:bCs/>
          <w:kern w:val="2"/>
          <w:sz w:val="24"/>
          <w:lang w:val="en-US" w:eastAsia="zh-CN"/>
        </w:rPr>
        <w:t>12</w:t>
      </w:r>
      <w:r>
        <w:rPr>
          <w:rFonts w:hint="eastAsia" w:ascii="宋体" w:hAnsi="宋体" w:cs="宋体"/>
          <w:bCs/>
          <w:kern w:val="2"/>
          <w:sz w:val="24"/>
          <w:lang w:eastAsia="zh-CN"/>
        </w:rPr>
        <w:t>）</w:t>
      </w:r>
      <w:r>
        <w:rPr>
          <w:rFonts w:hint="eastAsia" w:ascii="宋体" w:hAnsi="宋体" w:cs="宋体"/>
          <w:bCs/>
          <w:kern w:val="2"/>
          <w:sz w:val="24"/>
        </w:rPr>
        <w:t>对于买方拒收的货物，卖方按买方要求负责现场处理，如处理不及时，买方有权自行处理，所发生的费用全部由卖方承担。</w:t>
      </w:r>
    </w:p>
    <w:p>
      <w:pPr>
        <w:snapToGrid w:val="0"/>
        <w:spacing w:line="360" w:lineRule="auto"/>
        <w:ind w:leftChars="100" w:firstLine="240" w:firstLineChars="100"/>
        <w:rPr>
          <w:bCs w:val="0"/>
          <w:smallCaps w:val="0"/>
          <w:kern w:val="0"/>
          <w:sz w:val="24"/>
          <w:szCs w:val="24"/>
          <w:highlight w:val="none"/>
        </w:rPr>
      </w:pPr>
      <w:r>
        <w:rPr>
          <w:rFonts w:hint="eastAsia" w:ascii="宋体" w:hAnsi="宋体" w:cs="宋体"/>
          <w:bCs/>
          <w:kern w:val="2"/>
          <w:sz w:val="24"/>
          <w:lang w:val="en-US" w:eastAsia="zh-CN"/>
        </w:rPr>
        <w:t>13</w:t>
      </w:r>
      <w:r>
        <w:rPr>
          <w:rFonts w:hint="eastAsia" w:ascii="宋体" w:hAnsi="宋体" w:cs="宋体"/>
          <w:bCs/>
          <w:kern w:val="2"/>
          <w:sz w:val="24"/>
        </w:rPr>
        <w:t>)</w:t>
      </w:r>
      <w:r>
        <w:rPr>
          <w:rFonts w:hint="eastAsia" w:ascii="宋体" w:hAnsi="宋体" w:cs="宋体"/>
          <w:bCs/>
          <w:smallCaps w:val="0"/>
          <w:kern w:val="2"/>
          <w:sz w:val="24"/>
          <w:szCs w:val="24"/>
        </w:rPr>
        <w:t>如因采购方生产需要变更技术指标的，以当批次订货通知单技术指标为准。</w:t>
      </w:r>
    </w:p>
    <w:p>
      <w:pPr>
        <w:pStyle w:val="23"/>
        <w:spacing w:before="0" w:beforeAutospacing="0" w:after="0" w:afterAutospacing="0" w:line="360" w:lineRule="auto"/>
        <w:ind w:firstLine="241"/>
        <w:rPr>
          <w:highlight w:val="none"/>
        </w:rPr>
      </w:pPr>
      <w:r>
        <w:rPr>
          <w:rStyle w:val="30"/>
          <w:highlight w:val="none"/>
        </w:rPr>
        <w:t>五、价格及金额</w:t>
      </w:r>
    </w:p>
    <w:p>
      <w:pPr>
        <w:pStyle w:val="23"/>
        <w:spacing w:before="0" w:beforeAutospacing="0" w:after="0" w:afterAutospacing="0" w:line="360" w:lineRule="auto"/>
        <w:rPr>
          <w:highlight w:val="none"/>
        </w:rPr>
      </w:pPr>
      <w:r>
        <w:rPr>
          <w:highlight w:val="none"/>
        </w:rPr>
        <w:t>　　合同</w:t>
      </w:r>
      <w:r>
        <w:rPr>
          <w:rFonts w:hint="eastAsia"/>
          <w:highlight w:val="none"/>
        </w:rPr>
        <w:t>价格</w:t>
      </w:r>
      <w:r>
        <w:rPr>
          <w:highlight w:val="none"/>
        </w:rPr>
        <w:t>：</w:t>
      </w:r>
      <w:r>
        <w:rPr>
          <w:rFonts w:hint="eastAsia"/>
          <w:highlight w:val="none"/>
        </w:rPr>
        <w:t>A+</w:t>
      </w:r>
      <w:r>
        <w:rPr>
          <w:rFonts w:hint="eastAsia"/>
          <w:highlight w:val="none"/>
          <w:u w:val="single"/>
        </w:rPr>
        <w:t xml:space="preserve">B           </w:t>
      </w:r>
      <w:r>
        <w:rPr>
          <w:highlight w:val="none"/>
        </w:rPr>
        <w:t>元/吨：</w:t>
      </w:r>
      <w:r>
        <w:rPr>
          <w:rFonts w:hint="eastAsia"/>
          <w:highlight w:val="none"/>
        </w:rPr>
        <w:t>（大写：A+</w:t>
      </w:r>
      <w:r>
        <w:rPr>
          <w:rFonts w:hint="eastAsia"/>
          <w:highlight w:val="none"/>
          <w:u w:val="single"/>
        </w:rPr>
        <w:t xml:space="preserve">B         </w:t>
      </w:r>
      <w:r>
        <w:rPr>
          <w:highlight w:val="none"/>
        </w:rPr>
        <w:t>/吨</w:t>
      </w:r>
      <w:r>
        <w:rPr>
          <w:rFonts w:hint="eastAsia"/>
          <w:highlight w:val="none"/>
        </w:rPr>
        <w:t>）</w:t>
      </w:r>
    </w:p>
    <w:p>
      <w:pPr>
        <w:pStyle w:val="23"/>
        <w:spacing w:before="0" w:beforeAutospacing="0" w:after="0" w:afterAutospacing="0" w:line="360" w:lineRule="auto"/>
      </w:pPr>
      <w:r>
        <w:t>　</w:t>
      </w:r>
      <w:r>
        <w:rPr>
          <w:rStyle w:val="30"/>
        </w:rPr>
        <w:t>六、煤炭检验</w:t>
      </w:r>
    </w:p>
    <w:p>
      <w:pPr>
        <w:ind w:firstLine="480" w:firstLineChars="200"/>
        <w:rPr>
          <w:rFonts w:hint="eastAsia" w:eastAsia="宋体"/>
          <w:lang w:eastAsia="zh-CN"/>
        </w:rPr>
      </w:pPr>
      <w:r>
        <w:rPr>
          <w:rFonts w:ascii="宋体" w:hAnsi="宋体" w:cs="宋体"/>
          <w:kern w:val="0"/>
          <w:sz w:val="24"/>
        </w:rPr>
        <w:t>1.</w:t>
      </w:r>
      <w:r>
        <w:rPr>
          <w:rFonts w:hint="eastAsia" w:ascii="宋体" w:hAnsi="宋体" w:cs="宋体"/>
          <w:kern w:val="0"/>
          <w:sz w:val="24"/>
        </w:rPr>
        <w:t>甲方安排人员与乙方共同取样，样品一式二份密封保存至甲方处，由甲方安排专业人员进行检测，出具检测报告，若乙方对甲方的检测结果有异议的，应在三天内委托有资质的第三方或由甲乙双方派人共同见证检测，若检测结果与甲方检测结果差值小于等于100大卡的，以甲方检测结果为准，产生的检测费用由乙方承担；若检测结果差值大于等于100大卡的，以复测结果为准，产生的费用由甲方承担。</w:t>
      </w:r>
    </w:p>
    <w:p>
      <w:pPr>
        <w:pStyle w:val="23"/>
        <w:spacing w:before="0" w:beforeAutospacing="0" w:after="0" w:afterAutospacing="0" w:line="360" w:lineRule="auto"/>
      </w:pPr>
      <w:r>
        <w:t>　　2.乙方批量供煤过程</w:t>
      </w:r>
    </w:p>
    <w:p>
      <w:pPr>
        <w:pStyle w:val="23"/>
        <w:spacing w:before="0" w:beforeAutospacing="0" w:after="0" w:afterAutospacing="0" w:line="360" w:lineRule="auto"/>
      </w:pPr>
      <w:r>
        <w:t>　　汽车运输甲方</w:t>
      </w:r>
      <w:r>
        <w:rPr>
          <w:rFonts w:hint="eastAsia"/>
        </w:rPr>
        <w:t>≤四车</w:t>
      </w:r>
      <w:r>
        <w:t>化验一次，</w:t>
      </w:r>
      <w:r>
        <w:rPr>
          <w:rFonts w:hint="eastAsia"/>
        </w:rPr>
        <w:t>3</w:t>
      </w:r>
      <w:r>
        <w:t>次不合格，</w:t>
      </w:r>
      <w:r>
        <w:rPr>
          <w:rFonts w:hint="eastAsia"/>
          <w:lang w:val="en-US" w:eastAsia="zh-CN"/>
        </w:rPr>
        <w:t>甲方有权立即终止</w:t>
      </w:r>
      <w:r>
        <w:t>执行合同，责任乙方自负。</w:t>
      </w:r>
    </w:p>
    <w:p>
      <w:pPr>
        <w:pStyle w:val="23"/>
        <w:spacing w:before="0" w:beforeAutospacing="0" w:after="0" w:afterAutospacing="0" w:line="360" w:lineRule="auto"/>
      </w:pPr>
      <w:r>
        <w:t>　　3.</w:t>
      </w:r>
      <w:r>
        <w:rPr>
          <w:rFonts w:hint="eastAsia" w:asciiTheme="minorEastAsia" w:hAnsiTheme="minorEastAsia" w:eastAsiaTheme="minorEastAsia"/>
          <w:szCs w:val="21"/>
        </w:rPr>
        <w:t>甲方按照国家相关标准采样、化验，以甲方检测结果为结算依据。煤样一式2份，甲方留存密封一份，化验一份。</w:t>
      </w:r>
    </w:p>
    <w:p>
      <w:pPr>
        <w:pStyle w:val="23"/>
        <w:spacing w:before="0" w:beforeAutospacing="0" w:after="0" w:afterAutospacing="0" w:line="360" w:lineRule="auto"/>
      </w:pPr>
      <w:r>
        <w:t>　　4.在进煤过程中，发现乙方明显掺假作弊，</w:t>
      </w:r>
      <w:r>
        <w:rPr>
          <w:rFonts w:hint="eastAsia"/>
          <w:lang w:val="en-US" w:eastAsia="zh-CN"/>
        </w:rPr>
        <w:t>甲方有权</w:t>
      </w:r>
      <w:r>
        <w:t>立即终止合同，甲方单独取作弊部分化验，并将化验结果作为该批次的结帐依据，由此造成的损失由乙方全部承担。</w:t>
      </w:r>
    </w:p>
    <w:p>
      <w:pPr>
        <w:pStyle w:val="23"/>
        <w:spacing w:before="0" w:beforeAutospacing="0" w:after="0" w:afterAutospacing="0" w:line="360" w:lineRule="auto"/>
        <w:ind w:firstLine="241"/>
      </w:pPr>
      <w:r>
        <w:rPr>
          <w:rStyle w:val="30"/>
        </w:rPr>
        <w:t>七、</w:t>
      </w:r>
      <w:r>
        <w:rPr>
          <w:rStyle w:val="30"/>
          <w:rFonts w:hint="eastAsia"/>
          <w:lang w:val="en-US" w:eastAsia="zh-CN"/>
        </w:rPr>
        <w:t>双方权利义务</w:t>
      </w:r>
    </w:p>
    <w:p>
      <w:pPr>
        <w:pStyle w:val="23"/>
        <w:spacing w:before="0" w:beforeAutospacing="0" w:after="0" w:afterAutospacing="0" w:line="360" w:lineRule="auto"/>
        <w:ind w:firstLine="480"/>
      </w:pPr>
      <w:r>
        <w:t>1.乙方严格按甲方进煤计划和本合同有关质量要求供货，因供货不及时或未达到本合同质量要求，给甲方生产造成的一切损失，由乙方承担。</w:t>
      </w:r>
    </w:p>
    <w:p>
      <w:pPr>
        <w:pStyle w:val="23"/>
        <w:spacing w:before="0" w:beforeAutospacing="0" w:after="0" w:afterAutospacing="0" w:line="360" w:lineRule="auto"/>
        <w:ind w:firstLine="480"/>
        <w:rPr>
          <w:rFonts w:hint="eastAsia"/>
          <w:lang w:val="en-US" w:eastAsia="zh-CN"/>
        </w:rPr>
      </w:pPr>
      <w:r>
        <w:rPr>
          <w:rFonts w:hint="eastAsia"/>
          <w:lang w:val="en-US" w:eastAsia="zh-CN"/>
        </w:rPr>
        <w:t>2.除人为因素，在正常使用条件下，由于乙方所提供的产品本身质量原因引起的安全事故、投诉以及损失，均由乙方承担。</w:t>
      </w:r>
    </w:p>
    <w:p>
      <w:pPr>
        <w:pStyle w:val="23"/>
        <w:spacing w:before="0" w:beforeAutospacing="0" w:after="0" w:afterAutospacing="0" w:line="360" w:lineRule="auto"/>
        <w:ind w:firstLine="480"/>
        <w:rPr>
          <w:rFonts w:hint="eastAsia"/>
          <w:lang w:val="en-US" w:eastAsia="zh-CN"/>
        </w:rPr>
      </w:pPr>
      <w:r>
        <w:rPr>
          <w:rFonts w:hint="eastAsia"/>
          <w:lang w:val="en-US" w:eastAsia="zh-CN"/>
        </w:rPr>
        <w:t>3.乙方逾期交货的，应在发货前与甲方协商。甲方仍需要的，乙方应及时交货，同时承担逾期交货的违约责任，即每逾期一天，向甲方支付逾期交货部分货款金额百分之一的违约金，并赔偿因此给甲方造成的实际损失；甲方不再需要的，应当在接到乙方通知后十五天内答复乙方，办理解除合同手续。</w:t>
      </w:r>
    </w:p>
    <w:p>
      <w:pPr>
        <w:pStyle w:val="23"/>
        <w:spacing w:before="0" w:beforeAutospacing="0" w:after="0" w:afterAutospacing="0" w:line="360" w:lineRule="auto"/>
        <w:ind w:firstLine="480"/>
        <w:rPr>
          <w:rFonts w:hint="eastAsia"/>
          <w:lang w:val="en-US" w:eastAsia="zh-CN"/>
        </w:rPr>
      </w:pPr>
      <w:r>
        <w:rPr>
          <w:rFonts w:hint="eastAsia"/>
          <w:lang w:val="en-US" w:eastAsia="zh-CN"/>
        </w:rPr>
        <w:t>4.乙方提前交货的产品；多交的产品；品种、规格、质量不符合规定的产品，甲方在代保管期内实际支付的保管等费用以及因保管产生的风险，应当由乙方承担。</w:t>
      </w:r>
    </w:p>
    <w:p>
      <w:pPr>
        <w:pStyle w:val="23"/>
        <w:spacing w:before="0" w:beforeAutospacing="0" w:after="0" w:afterAutospacing="0" w:line="360" w:lineRule="auto"/>
        <w:ind w:firstLine="480"/>
        <w:rPr>
          <w:rFonts w:hint="default"/>
          <w:lang w:val="en-US" w:eastAsia="zh-CN"/>
        </w:rPr>
      </w:pPr>
      <w:r>
        <w:rPr>
          <w:rFonts w:hint="eastAsia"/>
          <w:lang w:val="en-US" w:eastAsia="zh-CN"/>
        </w:rPr>
        <w:t>5.买卖双方因不可抗力不能履行本合同的义务时，均不承担责任，双方协商解除合同。双方由于不可抗力因素而影响合同执行时，双方协商一致，则合同履行时间可以延迟，延迟履行合同的期限应相当于不可抗力影响的时间。</w:t>
      </w:r>
    </w:p>
    <w:p>
      <w:pPr>
        <w:pStyle w:val="23"/>
        <w:spacing w:before="0" w:beforeAutospacing="0" w:after="0" w:afterAutospacing="0" w:line="360" w:lineRule="auto"/>
      </w:pPr>
      <w:r>
        <w:t>　　</w:t>
      </w:r>
      <w:r>
        <w:rPr>
          <w:rFonts w:hint="eastAsia"/>
          <w:lang w:val="en-US" w:eastAsia="zh-CN"/>
        </w:rPr>
        <w:t>6</w:t>
      </w:r>
      <w:r>
        <w:t>.乙方应保证符合本合同质量要求供煤，如乙方所运煤未达到甲方质量要求，乙方无条件拉回，否则甲方可以在三天后</w:t>
      </w:r>
      <w:r>
        <w:rPr>
          <w:rFonts w:hint="eastAsia"/>
        </w:rPr>
        <w:t>自行</w:t>
      </w:r>
      <w:r>
        <w:t>处理,不付任何费用。</w:t>
      </w:r>
    </w:p>
    <w:p>
      <w:pPr>
        <w:pStyle w:val="23"/>
        <w:spacing w:before="0" w:beforeAutospacing="0" w:after="0" w:afterAutospacing="0" w:line="360" w:lineRule="auto"/>
        <w:ind w:firstLine="241"/>
      </w:pPr>
      <w:r>
        <w:rPr>
          <w:rStyle w:val="30"/>
        </w:rPr>
        <w:t>八、数量计量</w:t>
      </w:r>
    </w:p>
    <w:p>
      <w:pPr>
        <w:pStyle w:val="23"/>
        <w:spacing w:before="0" w:beforeAutospacing="0" w:after="0" w:afterAutospacing="0" w:line="360" w:lineRule="auto"/>
      </w:pPr>
      <w:r>
        <w:t>　　以甲方地</w:t>
      </w:r>
      <w:r>
        <w:rPr>
          <w:rFonts w:hint="eastAsia"/>
        </w:rPr>
        <w:t>磅计</w:t>
      </w:r>
      <w:r>
        <w:t>量为准，如需委</w:t>
      </w:r>
      <w:r>
        <w:rPr>
          <w:rFonts w:hint="eastAsia"/>
        </w:rPr>
        <w:t>托</w:t>
      </w:r>
      <w:r>
        <w:t>称重，需有甲方、乙方共同监磅，并在过磅</w:t>
      </w:r>
      <w:r>
        <w:rPr>
          <w:rFonts w:hint="eastAsia"/>
        </w:rPr>
        <w:t>单</w:t>
      </w:r>
      <w:r>
        <w:t>上签字。</w:t>
      </w:r>
    </w:p>
    <w:p>
      <w:pPr>
        <w:pStyle w:val="23"/>
        <w:spacing w:before="0" w:beforeAutospacing="0" w:after="0" w:afterAutospacing="0" w:line="360" w:lineRule="auto"/>
        <w:ind w:firstLine="241"/>
      </w:pPr>
      <w:r>
        <w:rPr>
          <w:rStyle w:val="30"/>
        </w:rPr>
        <w:t>九、付款方式及时间</w:t>
      </w:r>
    </w:p>
    <w:p>
      <w:pPr>
        <w:pStyle w:val="23"/>
        <w:spacing w:before="0" w:beforeAutospacing="0" w:after="0" w:afterAutospacing="0" w:line="360" w:lineRule="auto"/>
        <w:ind w:firstLine="482" w:firstLineChars="200"/>
        <w:rPr>
          <w:b/>
          <w:bCs/>
          <w:highlight w:val="none"/>
        </w:rPr>
      </w:pPr>
      <w:r>
        <w:rPr>
          <w:rFonts w:hint="eastAsia"/>
          <w:b/>
          <w:bCs/>
          <w:highlight w:val="none"/>
        </w:rPr>
        <w:t>卖方在收到买方的结算清单后，凭化验报告、过磅单、结算清单、开具</w:t>
      </w:r>
      <w:r>
        <w:rPr>
          <w:rFonts w:hint="eastAsia"/>
          <w:b/>
          <w:bCs/>
          <w:highlight w:val="none"/>
          <w:lang w:val="en-US" w:eastAsia="zh-CN"/>
        </w:rPr>
        <w:t>等额的</w:t>
      </w:r>
      <w:r>
        <w:rPr>
          <w:rFonts w:hint="eastAsia"/>
          <w:b/>
          <w:bCs/>
          <w:highlight w:val="none"/>
        </w:rPr>
        <w:t>煤炭增值税专票，买方在收到卖方增值税专票后</w:t>
      </w:r>
      <w:r>
        <w:rPr>
          <w:rFonts w:hint="eastAsia"/>
          <w:b/>
          <w:bCs/>
          <w:highlight w:val="none"/>
          <w:u w:val="single"/>
        </w:rPr>
        <w:t>25</w:t>
      </w:r>
      <w:r>
        <w:rPr>
          <w:rFonts w:hint="eastAsia"/>
          <w:b/>
          <w:bCs/>
          <w:highlight w:val="none"/>
        </w:rPr>
        <w:t>日内付款。</w:t>
      </w:r>
    </w:p>
    <w:p>
      <w:pPr>
        <w:pStyle w:val="23"/>
        <w:spacing w:before="0" w:beforeAutospacing="0" w:after="0" w:afterAutospacing="0" w:line="360" w:lineRule="auto"/>
        <w:ind w:firstLine="240"/>
        <w:rPr>
          <w:b/>
          <w:highlight w:val="none"/>
        </w:rPr>
      </w:pPr>
      <w:r>
        <w:rPr>
          <w:rFonts w:hint="eastAsia"/>
          <w:b/>
          <w:highlight w:val="none"/>
        </w:rPr>
        <w:t>十、其他要求</w:t>
      </w:r>
    </w:p>
    <w:p>
      <w:pPr>
        <w:pStyle w:val="23"/>
        <w:spacing w:before="0" w:beforeAutospacing="0" w:after="0" w:afterAutospacing="0" w:line="360" w:lineRule="auto"/>
        <w:rPr>
          <w:highlight w:val="none"/>
        </w:rPr>
      </w:pPr>
      <w:r>
        <w:rPr>
          <w:rFonts w:hint="eastAsia"/>
          <w:b/>
          <w:highlight w:val="none"/>
        </w:rPr>
        <w:t xml:space="preserve">  </w:t>
      </w:r>
      <w:r>
        <w:rPr>
          <w:rFonts w:hint="eastAsia"/>
          <w:b/>
          <w:highlight w:val="none"/>
          <w:lang w:val="en-US" w:eastAsia="zh-CN"/>
        </w:rPr>
        <w:t xml:space="preserve">  </w:t>
      </w:r>
      <w:r>
        <w:rPr>
          <w:rFonts w:hint="eastAsia"/>
          <w:highlight w:val="none"/>
        </w:rPr>
        <w:t>入场煤车辆排放需满足国六及以上或者采用新能源、天然气、氢燃料车辆。</w:t>
      </w:r>
    </w:p>
    <w:p>
      <w:pPr>
        <w:pStyle w:val="23"/>
        <w:spacing w:before="0" w:beforeAutospacing="0" w:after="0" w:afterAutospacing="0" w:line="360" w:lineRule="auto"/>
        <w:ind w:firstLine="241"/>
      </w:pPr>
      <w:r>
        <w:rPr>
          <w:rStyle w:val="30"/>
        </w:rPr>
        <w:t>十一、本合同如有变更</w:t>
      </w:r>
    </w:p>
    <w:p>
      <w:pPr>
        <w:pStyle w:val="23"/>
        <w:spacing w:before="0" w:beforeAutospacing="0" w:after="0" w:afterAutospacing="0" w:line="360" w:lineRule="auto"/>
        <w:rPr>
          <w:rFonts w:hint="eastAsia" w:eastAsia="宋体"/>
          <w:lang w:val="en-US" w:eastAsia="zh-CN"/>
        </w:rPr>
      </w:pPr>
      <w:r>
        <w:t>　　双方另立补充条款。</w:t>
      </w:r>
    </w:p>
    <w:p>
      <w:pPr>
        <w:pStyle w:val="23"/>
        <w:spacing w:before="0" w:beforeAutospacing="0" w:after="0" w:afterAutospacing="0" w:line="360" w:lineRule="auto"/>
        <w:ind w:firstLine="241"/>
      </w:pPr>
      <w:r>
        <w:rPr>
          <w:rStyle w:val="30"/>
        </w:rPr>
        <w:t>十</w:t>
      </w:r>
      <w:r>
        <w:rPr>
          <w:rStyle w:val="30"/>
          <w:rFonts w:hint="eastAsia"/>
        </w:rPr>
        <w:t>二</w:t>
      </w:r>
      <w:r>
        <w:rPr>
          <w:rStyle w:val="30"/>
        </w:rPr>
        <w:t>、因本合同履行过程中发生争议</w:t>
      </w:r>
    </w:p>
    <w:p>
      <w:pPr>
        <w:pStyle w:val="23"/>
        <w:spacing w:before="0" w:beforeAutospacing="0" w:after="0" w:afterAutospacing="0" w:line="360" w:lineRule="auto"/>
      </w:pPr>
      <w:r>
        <w:t>　　甲乙双方协商解决，协商不成时，依法向交货所在地的人民法院起诉。</w:t>
      </w:r>
    </w:p>
    <w:p>
      <w:pPr>
        <w:pStyle w:val="23"/>
        <w:spacing w:before="0" w:beforeAutospacing="0" w:after="0" w:afterAutospacing="0" w:line="360" w:lineRule="auto"/>
        <w:ind w:firstLine="241" w:firstLineChars="100"/>
        <w:rPr>
          <w:rStyle w:val="30"/>
        </w:rPr>
      </w:pPr>
      <w:r>
        <w:rPr>
          <w:rStyle w:val="30"/>
          <w:rFonts w:hint="eastAsia"/>
        </w:rPr>
        <w:t>十三、</w:t>
      </w:r>
      <w:r>
        <w:rPr>
          <w:rStyle w:val="30"/>
        </w:rPr>
        <w:t>本合同一式</w:t>
      </w:r>
      <w:r>
        <w:rPr>
          <w:rStyle w:val="30"/>
          <w:rFonts w:hint="eastAsia"/>
        </w:rPr>
        <w:t>陆</w:t>
      </w:r>
      <w:r>
        <w:rPr>
          <w:rStyle w:val="30"/>
        </w:rPr>
        <w:t>份，甲方执</w:t>
      </w:r>
      <w:r>
        <w:rPr>
          <w:rStyle w:val="30"/>
          <w:rFonts w:hint="eastAsia"/>
        </w:rPr>
        <w:t>肆</w:t>
      </w:r>
      <w:r>
        <w:rPr>
          <w:rStyle w:val="30"/>
        </w:rPr>
        <w:t>份，乙方执贰份。</w:t>
      </w:r>
    </w:p>
    <w:p>
      <w:pPr>
        <w:pStyle w:val="23"/>
        <w:spacing w:before="0" w:beforeAutospacing="0" w:after="0" w:afterAutospacing="0" w:line="360" w:lineRule="auto"/>
        <w:ind w:left="480" w:firstLine="241"/>
        <w:rPr>
          <w:rStyle w:val="30"/>
        </w:rPr>
      </w:pPr>
    </w:p>
    <w:p>
      <w:pPr>
        <w:pStyle w:val="23"/>
        <w:spacing w:before="0" w:beforeAutospacing="0" w:after="0" w:afterAutospacing="0" w:line="360" w:lineRule="auto"/>
      </w:pPr>
      <w:r>
        <w:t>　　甲方(公章)：_________        乙方(公章)：_________</w:t>
      </w:r>
    </w:p>
    <w:p>
      <w:pPr>
        <w:pStyle w:val="23"/>
        <w:spacing w:before="0" w:beforeAutospacing="0" w:after="0" w:afterAutospacing="0" w:line="360" w:lineRule="auto"/>
      </w:pPr>
      <w:r>
        <w:t>　　法定代表人(签字)：_________     法定代表人(签字)：_________</w:t>
      </w:r>
    </w:p>
    <w:p>
      <w:pPr>
        <w:pStyle w:val="23"/>
        <w:spacing w:before="0" w:beforeAutospacing="0" w:after="0" w:afterAutospacing="0" w:line="360" w:lineRule="auto"/>
      </w:pPr>
      <w:r>
        <w:t>　　_________年____月____日       _________年____月____日</w:t>
      </w:r>
    </w:p>
    <w:p>
      <w:pPr>
        <w:spacing w:before="78" w:after="78" w:line="360" w:lineRule="auto"/>
        <w:ind w:firstLine="720" w:firstLineChars="300"/>
        <w:jc w:val="center"/>
        <w:outlineLvl w:val="0"/>
        <w:rPr>
          <w:rFonts w:ascii="宋体" w:hAnsi="宋体" w:cs="宋体"/>
          <w:b/>
          <w:sz w:val="44"/>
          <w:szCs w:val="44"/>
        </w:rPr>
      </w:pPr>
      <w:r>
        <w:rPr>
          <w:rFonts w:hint="eastAsia" w:ascii="宋体" w:hAnsi="宋体" w:cs="宋体"/>
          <w:sz w:val="24"/>
        </w:rPr>
        <w:br w:type="page"/>
      </w:r>
      <w:bookmarkStart w:id="98" w:name="_Toc20961"/>
      <w:bookmarkStart w:id="99" w:name="_Toc9678"/>
      <w:bookmarkStart w:id="100" w:name="_Toc30401"/>
      <w:r>
        <w:rPr>
          <w:rFonts w:hint="eastAsia" w:ascii="宋体" w:hAnsi="宋体" w:cs="宋体"/>
          <w:b/>
          <w:sz w:val="44"/>
          <w:szCs w:val="44"/>
        </w:rPr>
        <w:t>第五章  投标文件格式</w:t>
      </w:r>
      <w:bookmarkEnd w:id="98"/>
      <w:bookmarkEnd w:id="99"/>
      <w:bookmarkEnd w:id="100"/>
    </w:p>
    <w:p>
      <w:pPr>
        <w:spacing w:before="78" w:after="78"/>
        <w:ind w:firstLine="240"/>
        <w:jc w:val="center"/>
        <w:rPr>
          <w:rFonts w:ascii="宋体" w:hAnsi="宋体" w:cs="宋体"/>
        </w:rPr>
      </w:pPr>
    </w:p>
    <w:p>
      <w:pPr>
        <w:spacing w:before="78" w:beforeLines="25" w:after="78" w:afterLines="25"/>
        <w:ind w:firstLine="562" w:firstLineChars="200"/>
        <w:jc w:val="center"/>
        <w:outlineLvl w:val="1"/>
        <w:rPr>
          <w:rFonts w:ascii="宋体" w:hAnsi="宋体" w:cs="宋体"/>
          <w:b/>
          <w:sz w:val="28"/>
          <w:szCs w:val="28"/>
        </w:rPr>
      </w:pPr>
      <w:bookmarkStart w:id="101" w:name="_Toc14633"/>
      <w:bookmarkStart w:id="102" w:name="_Toc29398"/>
      <w:bookmarkStart w:id="103" w:name="_Toc17337"/>
      <w:r>
        <w:rPr>
          <w:rFonts w:hint="eastAsia" w:ascii="宋体" w:hAnsi="宋体" w:cs="宋体"/>
          <w:b/>
          <w:sz w:val="28"/>
          <w:szCs w:val="28"/>
        </w:rPr>
        <w:t>封面</w:t>
      </w:r>
      <w:bookmarkEnd w:id="101"/>
      <w:bookmarkEnd w:id="102"/>
      <w:bookmarkEnd w:id="103"/>
    </w:p>
    <w:p>
      <w:pPr>
        <w:pStyle w:val="59"/>
        <w:spacing w:before="78" w:after="78"/>
        <w:ind w:firstLine="0" w:firstLineChars="0"/>
        <w:rPr>
          <w:rFonts w:ascii="宋体" w:hAnsi="宋体" w:cs="宋体"/>
        </w:rPr>
      </w:pPr>
    </w:p>
    <w:p>
      <w:pPr>
        <w:snapToGrid w:val="0"/>
        <w:spacing w:before="78" w:after="78" w:line="360" w:lineRule="auto"/>
        <w:ind w:firstLine="360"/>
        <w:jc w:val="right"/>
        <w:rPr>
          <w:rFonts w:ascii="宋体" w:hAnsi="宋体" w:cs="宋体"/>
          <w:sz w:val="28"/>
          <w:szCs w:val="28"/>
        </w:rPr>
      </w:pPr>
      <w:r>
        <w:rPr>
          <w:rFonts w:hint="eastAsia" w:ascii="宋体" w:hAnsi="宋体" w:cs="宋体"/>
          <w:sz w:val="36"/>
          <w:szCs w:val="36"/>
        </w:rPr>
        <w:t>（正、副）本</w:t>
      </w:r>
    </w:p>
    <w:p>
      <w:pPr>
        <w:widowControl/>
        <w:spacing w:before="78" w:after="78" w:line="360" w:lineRule="auto"/>
        <w:ind w:firstLine="472"/>
        <w:jc w:val="center"/>
        <w:rPr>
          <w:rFonts w:hint="eastAsia" w:ascii="宋体" w:hAnsi="宋体" w:eastAsia="宋体" w:cs="宋体"/>
          <w:b/>
          <w:bCs/>
          <w:spacing w:val="15"/>
          <w:sz w:val="44"/>
          <w:szCs w:val="44"/>
          <w:lang w:eastAsia="zh-CN"/>
        </w:rPr>
      </w:pPr>
      <w:r>
        <w:rPr>
          <w:rFonts w:hint="eastAsia" w:ascii="宋体" w:hAnsi="宋体" w:cs="宋体"/>
          <w:b/>
          <w:bCs/>
          <w:spacing w:val="15"/>
          <w:sz w:val="44"/>
          <w:szCs w:val="44"/>
          <w:lang w:eastAsia="zh-CN"/>
        </w:rPr>
        <w:t>江苏英奇热电有限公司煤炭采购项目（二次）</w:t>
      </w:r>
    </w:p>
    <w:p>
      <w:pPr>
        <w:pStyle w:val="59"/>
        <w:spacing w:before="78" w:after="78"/>
        <w:rPr>
          <w:rFonts w:ascii="宋体" w:hAnsi="宋体" w:cs="宋体"/>
        </w:rPr>
      </w:pPr>
    </w:p>
    <w:p>
      <w:pPr>
        <w:spacing w:before="78" w:after="78" w:line="360" w:lineRule="auto"/>
        <w:ind w:firstLine="360"/>
        <w:jc w:val="center"/>
        <w:rPr>
          <w:rFonts w:ascii="宋体" w:hAnsi="宋体" w:cs="宋体"/>
          <w:sz w:val="36"/>
          <w:szCs w:val="36"/>
        </w:rPr>
      </w:pPr>
    </w:p>
    <w:p>
      <w:pPr>
        <w:spacing w:before="78" w:after="78" w:line="360" w:lineRule="auto"/>
        <w:ind w:firstLine="442"/>
        <w:jc w:val="center"/>
        <w:rPr>
          <w:rFonts w:ascii="宋体" w:hAnsi="宋体" w:cs="宋体"/>
          <w:b/>
          <w:bCs/>
          <w:sz w:val="44"/>
          <w:szCs w:val="44"/>
        </w:rPr>
      </w:pPr>
      <w:r>
        <w:rPr>
          <w:rFonts w:hint="eastAsia" w:ascii="宋体" w:hAnsi="宋体" w:cs="宋体"/>
          <w:b/>
          <w:bCs/>
          <w:sz w:val="44"/>
          <w:szCs w:val="44"/>
        </w:rPr>
        <w:t>投标文件</w:t>
      </w:r>
    </w:p>
    <w:p>
      <w:pPr>
        <w:spacing w:before="78" w:after="78" w:line="360" w:lineRule="auto"/>
        <w:ind w:firstLine="320"/>
        <w:jc w:val="center"/>
        <w:rPr>
          <w:rFonts w:ascii="宋体" w:hAnsi="宋体" w:cs="宋体"/>
          <w:sz w:val="32"/>
          <w:szCs w:val="32"/>
        </w:rPr>
      </w:pPr>
    </w:p>
    <w:p>
      <w:pPr>
        <w:spacing w:before="78" w:after="78" w:line="360" w:lineRule="auto"/>
        <w:ind w:firstLine="320"/>
        <w:jc w:val="center"/>
        <w:rPr>
          <w:rFonts w:ascii="宋体" w:hAnsi="宋体" w:cs="宋体"/>
          <w:sz w:val="32"/>
          <w:szCs w:val="32"/>
        </w:rPr>
      </w:pPr>
    </w:p>
    <w:p>
      <w:pPr>
        <w:spacing w:before="78" w:after="78" w:line="360" w:lineRule="auto"/>
        <w:ind w:firstLine="320"/>
        <w:jc w:val="center"/>
        <w:rPr>
          <w:rFonts w:ascii="宋体" w:hAnsi="宋体" w:cs="宋体"/>
          <w:sz w:val="36"/>
          <w:szCs w:val="36"/>
        </w:rPr>
      </w:pPr>
      <w:r>
        <w:rPr>
          <w:rFonts w:hint="eastAsia" w:ascii="宋体" w:hAnsi="宋体" w:cs="宋体"/>
          <w:sz w:val="32"/>
          <w:szCs w:val="32"/>
        </w:rPr>
        <w:t>项目编号：</w:t>
      </w:r>
    </w:p>
    <w:p>
      <w:pPr>
        <w:spacing w:before="78" w:after="78"/>
        <w:ind w:firstLine="280"/>
        <w:rPr>
          <w:rFonts w:ascii="宋体" w:hAnsi="宋体" w:cs="宋体"/>
          <w:sz w:val="28"/>
          <w:szCs w:val="28"/>
        </w:rPr>
      </w:pPr>
    </w:p>
    <w:p>
      <w:pPr>
        <w:spacing w:before="78" w:after="78"/>
        <w:ind w:firstLine="281"/>
        <w:rPr>
          <w:rFonts w:ascii="宋体" w:hAnsi="宋体" w:cs="宋体"/>
          <w:b/>
          <w:sz w:val="28"/>
          <w:szCs w:val="28"/>
        </w:rPr>
      </w:pPr>
    </w:p>
    <w:p>
      <w:pPr>
        <w:spacing w:before="78" w:after="78" w:line="360" w:lineRule="auto"/>
        <w:ind w:leftChars="1000" w:firstLine="0" w:firstLineChars="0"/>
        <w:rPr>
          <w:rFonts w:ascii="宋体" w:hAnsi="宋体" w:cs="宋体"/>
          <w:sz w:val="30"/>
          <w:szCs w:val="30"/>
        </w:rPr>
      </w:pPr>
      <w:r>
        <w:rPr>
          <w:rFonts w:hint="eastAsia" w:ascii="宋体" w:hAnsi="宋体" w:cs="宋体"/>
          <w:sz w:val="30"/>
          <w:szCs w:val="30"/>
        </w:rPr>
        <w:t>投标人：</w:t>
      </w:r>
      <w:r>
        <w:rPr>
          <w:rFonts w:hint="eastAsia" w:ascii="宋体" w:hAnsi="宋体" w:cs="宋体"/>
          <w:sz w:val="30"/>
          <w:szCs w:val="30"/>
          <w:u w:val="single"/>
        </w:rPr>
        <w:t xml:space="preserve">         （盖章）</w:t>
      </w:r>
    </w:p>
    <w:p>
      <w:pPr>
        <w:spacing w:before="78" w:after="78"/>
        <w:ind w:leftChars="1000" w:firstLine="0"/>
        <w:jc w:val="both"/>
        <w:rPr>
          <w:rFonts w:ascii="宋体" w:hAnsi="宋体" w:cs="宋体"/>
          <w:sz w:val="30"/>
          <w:szCs w:val="30"/>
          <w:u w:val="single"/>
        </w:rPr>
      </w:pPr>
      <w:r>
        <w:rPr>
          <w:rFonts w:hint="eastAsia" w:ascii="宋体" w:hAnsi="宋体" w:cs="宋体"/>
          <w:sz w:val="30"/>
          <w:szCs w:val="30"/>
        </w:rPr>
        <w:t>法定代表人（负责人）或授权委托人：（签字或盖章）</w:t>
      </w:r>
    </w:p>
    <w:p>
      <w:pPr>
        <w:spacing w:before="78" w:after="78"/>
        <w:ind w:leftChars="1000" w:firstLine="0" w:firstLineChars="0"/>
        <w:rPr>
          <w:rFonts w:ascii="宋体" w:hAnsi="宋体" w:cs="宋体"/>
          <w:sz w:val="30"/>
          <w:szCs w:val="30"/>
          <w:u w:val="single"/>
        </w:rPr>
      </w:pPr>
      <w:r>
        <w:rPr>
          <w:rFonts w:hint="eastAsia" w:ascii="宋体" w:hAnsi="宋体" w:cs="宋体"/>
          <w:sz w:val="30"/>
          <w:szCs w:val="30"/>
        </w:rPr>
        <w:t>日    期：  年  月  日</w:t>
      </w:r>
    </w:p>
    <w:p>
      <w:pPr>
        <w:spacing w:before="78" w:after="78"/>
        <w:ind w:firstLine="280"/>
        <w:jc w:val="center"/>
        <w:rPr>
          <w:rFonts w:ascii="宋体" w:hAnsi="宋体" w:cs="宋体"/>
          <w:b/>
          <w:sz w:val="30"/>
          <w:szCs w:val="30"/>
        </w:rPr>
      </w:pPr>
      <w:r>
        <w:rPr>
          <w:rFonts w:hint="eastAsia" w:ascii="宋体" w:hAnsi="宋体" w:cs="宋体"/>
          <w:sz w:val="28"/>
          <w:szCs w:val="28"/>
        </w:rPr>
        <w:br w:type="page"/>
      </w:r>
      <w:bookmarkStart w:id="104" w:name="_Toc24624"/>
      <w:bookmarkStart w:id="105" w:name="_Toc2252"/>
      <w:r>
        <w:rPr>
          <w:rFonts w:hint="eastAsia" w:ascii="宋体" w:hAnsi="宋体" w:cs="宋体"/>
          <w:b/>
          <w:sz w:val="36"/>
          <w:szCs w:val="36"/>
        </w:rPr>
        <w:t>索引表</w:t>
      </w:r>
    </w:p>
    <w:p>
      <w:pPr>
        <w:pStyle w:val="26"/>
        <w:spacing w:before="78" w:after="78"/>
        <w:ind w:firstLine="240"/>
        <w:rPr>
          <w:rFonts w:ascii="宋体" w:hAnsi="宋体" w:cs="宋体"/>
        </w:rPr>
      </w:pPr>
    </w:p>
    <w:tbl>
      <w:tblPr>
        <w:tblStyle w:val="2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6"/>
        <w:gridCol w:w="3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068" w:type="pct"/>
            <w:vAlign w:val="center"/>
          </w:tcPr>
          <w:p>
            <w:pPr>
              <w:pStyle w:val="59"/>
              <w:shd w:val="clear" w:color="auto" w:fill="FFFFFF"/>
              <w:spacing w:before="78" w:after="78" w:line="265" w:lineRule="atLeast"/>
              <w:ind w:left="420" w:firstLine="422"/>
              <w:jc w:val="center"/>
              <w:rPr>
                <w:rFonts w:ascii="宋体" w:hAnsi="宋体" w:cs="宋体"/>
                <w:b/>
                <w:bCs/>
              </w:rPr>
            </w:pPr>
            <w:r>
              <w:rPr>
                <w:rFonts w:hint="eastAsia" w:ascii="宋体" w:hAnsi="宋体" w:cs="宋体"/>
                <w:b/>
                <w:bCs/>
              </w:rPr>
              <w:t>目录</w:t>
            </w:r>
          </w:p>
        </w:tc>
        <w:tc>
          <w:tcPr>
            <w:tcW w:w="1931" w:type="pct"/>
            <w:vAlign w:val="center"/>
          </w:tcPr>
          <w:p>
            <w:pPr>
              <w:spacing w:before="78" w:after="78"/>
              <w:ind w:firstLine="241"/>
              <w:jc w:val="center"/>
              <w:rPr>
                <w:rFonts w:ascii="宋体" w:hAnsi="宋体" w:cs="宋体"/>
                <w:b/>
              </w:rPr>
            </w:pPr>
            <w:r>
              <w:rPr>
                <w:rFonts w:hint="eastAsia" w:ascii="宋体" w:hAnsi="宋体" w:cs="宋体"/>
                <w:b/>
                <w:kern w:val="0"/>
                <w:sz w:val="24"/>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6" w:hRule="atLeast"/>
        </w:trPr>
        <w:tc>
          <w:tcPr>
            <w:tcW w:w="3068" w:type="pct"/>
          </w:tcPr>
          <w:p>
            <w:pPr>
              <w:pStyle w:val="59"/>
              <w:shd w:val="clear" w:color="auto" w:fill="FFFFFF"/>
              <w:spacing w:before="78" w:after="78" w:line="265" w:lineRule="atLeast"/>
              <w:ind w:left="420" w:firstLine="422"/>
              <w:rPr>
                <w:rFonts w:ascii="宋体" w:hAnsi="宋体" w:cs="宋体"/>
                <w:b/>
              </w:rPr>
            </w:pPr>
          </w:p>
        </w:tc>
        <w:tc>
          <w:tcPr>
            <w:tcW w:w="1931" w:type="pct"/>
          </w:tcPr>
          <w:p>
            <w:pPr>
              <w:spacing w:before="78" w:after="78"/>
              <w:ind w:firstLine="241"/>
              <w:rPr>
                <w:rFonts w:ascii="宋体" w:hAnsi="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068" w:type="pct"/>
          </w:tcPr>
          <w:p>
            <w:pPr>
              <w:pStyle w:val="59"/>
              <w:shd w:val="clear" w:color="auto" w:fill="FFFFFF"/>
              <w:spacing w:before="78" w:after="78" w:line="265" w:lineRule="atLeast"/>
              <w:ind w:left="420" w:firstLine="422"/>
              <w:rPr>
                <w:rFonts w:ascii="宋体" w:hAnsi="宋体" w:cs="宋体"/>
                <w:b/>
              </w:rPr>
            </w:pPr>
          </w:p>
        </w:tc>
        <w:tc>
          <w:tcPr>
            <w:tcW w:w="1931" w:type="pct"/>
          </w:tcPr>
          <w:p>
            <w:pPr>
              <w:spacing w:before="78" w:after="78"/>
              <w:ind w:firstLine="241"/>
              <w:rPr>
                <w:rFonts w:ascii="宋体" w:hAnsi="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068" w:type="pct"/>
          </w:tcPr>
          <w:p>
            <w:pPr>
              <w:pStyle w:val="59"/>
              <w:shd w:val="clear" w:color="auto" w:fill="FFFFFF"/>
              <w:spacing w:before="78" w:after="78" w:line="265" w:lineRule="atLeast"/>
              <w:ind w:left="420" w:firstLine="422"/>
              <w:rPr>
                <w:rFonts w:ascii="宋体" w:hAnsi="宋体" w:cs="宋体"/>
                <w:b/>
              </w:rPr>
            </w:pPr>
          </w:p>
        </w:tc>
        <w:tc>
          <w:tcPr>
            <w:tcW w:w="1931" w:type="pct"/>
          </w:tcPr>
          <w:p>
            <w:pPr>
              <w:spacing w:before="78" w:after="78"/>
              <w:ind w:firstLine="241"/>
              <w:rPr>
                <w:rFonts w:ascii="宋体" w:hAnsi="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068" w:type="pct"/>
          </w:tcPr>
          <w:p>
            <w:pPr>
              <w:pStyle w:val="59"/>
              <w:shd w:val="clear" w:color="auto" w:fill="FFFFFF"/>
              <w:spacing w:before="78" w:after="78" w:line="265" w:lineRule="atLeast"/>
              <w:ind w:left="420" w:firstLine="422"/>
              <w:rPr>
                <w:rFonts w:ascii="宋体" w:hAnsi="宋体" w:cs="宋体"/>
                <w:b/>
              </w:rPr>
            </w:pPr>
          </w:p>
        </w:tc>
        <w:tc>
          <w:tcPr>
            <w:tcW w:w="1931" w:type="pct"/>
          </w:tcPr>
          <w:p>
            <w:pPr>
              <w:spacing w:before="78" w:after="78"/>
              <w:ind w:firstLine="241"/>
              <w:rPr>
                <w:rFonts w:ascii="宋体" w:hAnsi="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068" w:type="pct"/>
          </w:tcPr>
          <w:p>
            <w:pPr>
              <w:pStyle w:val="59"/>
              <w:shd w:val="clear" w:color="auto" w:fill="FFFFFF"/>
              <w:spacing w:before="78" w:after="78" w:line="265" w:lineRule="atLeast"/>
              <w:ind w:left="420" w:firstLine="422"/>
              <w:rPr>
                <w:rFonts w:ascii="宋体" w:hAnsi="宋体" w:cs="宋体"/>
                <w:b/>
              </w:rPr>
            </w:pPr>
          </w:p>
        </w:tc>
        <w:tc>
          <w:tcPr>
            <w:tcW w:w="1931" w:type="pct"/>
          </w:tcPr>
          <w:p>
            <w:pPr>
              <w:spacing w:before="78" w:after="78"/>
              <w:ind w:firstLine="241"/>
              <w:rPr>
                <w:rFonts w:ascii="宋体" w:hAnsi="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068" w:type="pct"/>
          </w:tcPr>
          <w:p>
            <w:pPr>
              <w:pStyle w:val="59"/>
              <w:shd w:val="clear" w:color="auto" w:fill="FFFFFF"/>
              <w:spacing w:before="78" w:after="78" w:line="265" w:lineRule="atLeast"/>
              <w:ind w:left="420" w:firstLine="422"/>
              <w:rPr>
                <w:rFonts w:ascii="宋体" w:hAnsi="宋体" w:cs="宋体"/>
                <w:b/>
              </w:rPr>
            </w:pPr>
          </w:p>
        </w:tc>
        <w:tc>
          <w:tcPr>
            <w:tcW w:w="1931" w:type="pct"/>
          </w:tcPr>
          <w:p>
            <w:pPr>
              <w:spacing w:before="78" w:after="78"/>
              <w:ind w:firstLine="241"/>
              <w:rPr>
                <w:rFonts w:ascii="宋体" w:hAnsi="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068" w:type="pct"/>
          </w:tcPr>
          <w:p>
            <w:pPr>
              <w:pStyle w:val="59"/>
              <w:shd w:val="clear" w:color="auto" w:fill="FFFFFF"/>
              <w:spacing w:before="78" w:after="78" w:line="265" w:lineRule="atLeast"/>
              <w:ind w:left="420" w:firstLine="422"/>
              <w:rPr>
                <w:rFonts w:ascii="宋体" w:hAnsi="宋体" w:cs="宋体"/>
                <w:b/>
              </w:rPr>
            </w:pPr>
          </w:p>
        </w:tc>
        <w:tc>
          <w:tcPr>
            <w:tcW w:w="1931" w:type="pct"/>
          </w:tcPr>
          <w:p>
            <w:pPr>
              <w:spacing w:before="78" w:after="78"/>
              <w:ind w:firstLine="241"/>
              <w:rPr>
                <w:rFonts w:ascii="宋体" w:hAnsi="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068" w:type="pct"/>
          </w:tcPr>
          <w:p>
            <w:pPr>
              <w:pStyle w:val="59"/>
              <w:shd w:val="clear" w:color="auto" w:fill="FFFFFF"/>
              <w:spacing w:before="78" w:after="78" w:line="265" w:lineRule="atLeast"/>
              <w:ind w:left="420" w:firstLine="422"/>
              <w:rPr>
                <w:rFonts w:ascii="宋体" w:hAnsi="宋体" w:cs="宋体"/>
                <w:b/>
              </w:rPr>
            </w:pPr>
          </w:p>
        </w:tc>
        <w:tc>
          <w:tcPr>
            <w:tcW w:w="1931" w:type="pct"/>
          </w:tcPr>
          <w:p>
            <w:pPr>
              <w:spacing w:before="78" w:after="78"/>
              <w:ind w:firstLine="241"/>
              <w:rPr>
                <w:rFonts w:ascii="宋体" w:hAnsi="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068" w:type="pct"/>
          </w:tcPr>
          <w:p>
            <w:pPr>
              <w:pStyle w:val="59"/>
              <w:shd w:val="clear" w:color="auto" w:fill="FFFFFF"/>
              <w:spacing w:before="78" w:after="78" w:line="265" w:lineRule="atLeast"/>
              <w:ind w:left="420" w:firstLine="422"/>
              <w:rPr>
                <w:rFonts w:ascii="宋体" w:hAnsi="宋体" w:cs="宋体"/>
                <w:b/>
              </w:rPr>
            </w:pPr>
          </w:p>
        </w:tc>
        <w:tc>
          <w:tcPr>
            <w:tcW w:w="1931" w:type="pct"/>
          </w:tcPr>
          <w:p>
            <w:pPr>
              <w:spacing w:before="78" w:after="78"/>
              <w:ind w:firstLine="241"/>
              <w:rPr>
                <w:rFonts w:ascii="宋体" w:hAnsi="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068" w:type="pct"/>
          </w:tcPr>
          <w:p>
            <w:pPr>
              <w:pStyle w:val="59"/>
              <w:shd w:val="clear" w:color="auto" w:fill="FFFFFF"/>
              <w:spacing w:before="78" w:after="78" w:line="265" w:lineRule="atLeast"/>
              <w:ind w:left="420" w:firstLine="422"/>
              <w:rPr>
                <w:rFonts w:ascii="宋体" w:hAnsi="宋体" w:cs="宋体"/>
                <w:b/>
              </w:rPr>
            </w:pPr>
          </w:p>
        </w:tc>
        <w:tc>
          <w:tcPr>
            <w:tcW w:w="1931" w:type="pct"/>
          </w:tcPr>
          <w:p>
            <w:pPr>
              <w:spacing w:before="78" w:after="78"/>
              <w:ind w:firstLine="241"/>
              <w:rPr>
                <w:rFonts w:ascii="宋体" w:hAnsi="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068" w:type="pct"/>
          </w:tcPr>
          <w:p>
            <w:pPr>
              <w:pStyle w:val="59"/>
              <w:shd w:val="clear" w:color="auto" w:fill="FFFFFF"/>
              <w:spacing w:before="78" w:after="78" w:line="265" w:lineRule="atLeast"/>
              <w:ind w:left="420" w:firstLine="422"/>
              <w:rPr>
                <w:rFonts w:ascii="宋体" w:hAnsi="宋体" w:cs="宋体"/>
                <w:b/>
              </w:rPr>
            </w:pPr>
          </w:p>
        </w:tc>
        <w:tc>
          <w:tcPr>
            <w:tcW w:w="1931" w:type="pct"/>
          </w:tcPr>
          <w:p>
            <w:pPr>
              <w:spacing w:before="78" w:after="78"/>
              <w:ind w:firstLine="241"/>
              <w:rPr>
                <w:rFonts w:ascii="宋体" w:hAnsi="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068" w:type="pct"/>
          </w:tcPr>
          <w:p>
            <w:pPr>
              <w:pStyle w:val="59"/>
              <w:shd w:val="clear" w:color="auto" w:fill="FFFFFF"/>
              <w:spacing w:before="78" w:after="78" w:line="265" w:lineRule="atLeast"/>
              <w:ind w:left="420" w:firstLine="422"/>
              <w:rPr>
                <w:rFonts w:ascii="宋体" w:hAnsi="宋体" w:cs="宋体"/>
                <w:b/>
              </w:rPr>
            </w:pPr>
          </w:p>
        </w:tc>
        <w:tc>
          <w:tcPr>
            <w:tcW w:w="1931" w:type="pct"/>
          </w:tcPr>
          <w:p>
            <w:pPr>
              <w:spacing w:before="78" w:after="78"/>
              <w:ind w:firstLine="241"/>
              <w:rPr>
                <w:rFonts w:ascii="宋体" w:hAnsi="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068" w:type="pct"/>
          </w:tcPr>
          <w:p>
            <w:pPr>
              <w:pStyle w:val="59"/>
              <w:shd w:val="clear" w:color="auto" w:fill="FFFFFF"/>
              <w:spacing w:before="78" w:after="78" w:line="265" w:lineRule="atLeast"/>
              <w:ind w:left="420" w:firstLine="422"/>
              <w:rPr>
                <w:rFonts w:ascii="宋体" w:hAnsi="宋体" w:cs="宋体"/>
                <w:b/>
              </w:rPr>
            </w:pPr>
          </w:p>
        </w:tc>
        <w:tc>
          <w:tcPr>
            <w:tcW w:w="1931" w:type="pct"/>
          </w:tcPr>
          <w:p>
            <w:pPr>
              <w:spacing w:before="78" w:after="78"/>
              <w:ind w:firstLine="241"/>
              <w:rPr>
                <w:rFonts w:ascii="宋体" w:hAnsi="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068" w:type="pct"/>
          </w:tcPr>
          <w:p>
            <w:pPr>
              <w:pStyle w:val="59"/>
              <w:shd w:val="clear" w:color="auto" w:fill="FFFFFF"/>
              <w:spacing w:before="78" w:after="78" w:line="265" w:lineRule="atLeast"/>
              <w:ind w:left="420" w:firstLine="422"/>
              <w:rPr>
                <w:rFonts w:ascii="宋体" w:hAnsi="宋体" w:cs="宋体"/>
                <w:b/>
              </w:rPr>
            </w:pPr>
          </w:p>
        </w:tc>
        <w:tc>
          <w:tcPr>
            <w:tcW w:w="1931" w:type="pct"/>
          </w:tcPr>
          <w:p>
            <w:pPr>
              <w:spacing w:before="78" w:after="78"/>
              <w:ind w:firstLine="241"/>
              <w:rPr>
                <w:rFonts w:ascii="宋体" w:hAnsi="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6" w:hRule="atLeast"/>
        </w:trPr>
        <w:tc>
          <w:tcPr>
            <w:tcW w:w="3068" w:type="pct"/>
          </w:tcPr>
          <w:p>
            <w:pPr>
              <w:pStyle w:val="59"/>
              <w:shd w:val="clear" w:color="auto" w:fill="FFFFFF"/>
              <w:spacing w:before="78" w:after="78" w:line="265" w:lineRule="atLeast"/>
              <w:ind w:left="420" w:firstLine="422"/>
              <w:rPr>
                <w:rFonts w:ascii="宋体" w:hAnsi="宋体" w:cs="宋体"/>
                <w:b/>
              </w:rPr>
            </w:pPr>
          </w:p>
        </w:tc>
        <w:tc>
          <w:tcPr>
            <w:tcW w:w="1931" w:type="pct"/>
          </w:tcPr>
          <w:p>
            <w:pPr>
              <w:spacing w:before="78" w:after="78"/>
              <w:ind w:firstLine="241"/>
              <w:rPr>
                <w:rFonts w:ascii="宋体" w:hAnsi="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068" w:type="pct"/>
          </w:tcPr>
          <w:p>
            <w:pPr>
              <w:pStyle w:val="59"/>
              <w:shd w:val="clear" w:color="auto" w:fill="FFFFFF"/>
              <w:spacing w:before="78" w:after="78" w:line="265" w:lineRule="atLeast"/>
              <w:ind w:left="420" w:firstLine="422"/>
              <w:rPr>
                <w:rFonts w:ascii="宋体" w:hAnsi="宋体" w:cs="宋体"/>
                <w:b/>
              </w:rPr>
            </w:pPr>
          </w:p>
        </w:tc>
        <w:tc>
          <w:tcPr>
            <w:tcW w:w="1931" w:type="pct"/>
          </w:tcPr>
          <w:p>
            <w:pPr>
              <w:spacing w:before="78" w:after="78"/>
              <w:ind w:firstLine="241"/>
              <w:rPr>
                <w:rFonts w:ascii="宋体" w:hAnsi="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068" w:type="pct"/>
          </w:tcPr>
          <w:p>
            <w:pPr>
              <w:pStyle w:val="59"/>
              <w:shd w:val="clear" w:color="auto" w:fill="FFFFFF"/>
              <w:spacing w:before="78" w:after="78" w:line="265" w:lineRule="atLeast"/>
              <w:ind w:left="420" w:firstLine="422"/>
              <w:rPr>
                <w:rFonts w:ascii="宋体" w:hAnsi="宋体" w:cs="宋体"/>
                <w:b/>
              </w:rPr>
            </w:pPr>
          </w:p>
        </w:tc>
        <w:tc>
          <w:tcPr>
            <w:tcW w:w="1931" w:type="pct"/>
          </w:tcPr>
          <w:p>
            <w:pPr>
              <w:spacing w:before="78" w:after="78"/>
              <w:ind w:firstLine="241"/>
              <w:rPr>
                <w:rFonts w:ascii="宋体" w:hAnsi="宋体" w:cs="宋体"/>
                <w:b/>
                <w:kern w:val="0"/>
                <w:sz w:val="24"/>
              </w:rPr>
            </w:pPr>
          </w:p>
        </w:tc>
      </w:tr>
    </w:tbl>
    <w:p>
      <w:pPr>
        <w:widowControl/>
        <w:tabs>
          <w:tab w:val="left" w:pos="900"/>
        </w:tabs>
        <w:spacing w:before="78" w:after="78" w:line="440" w:lineRule="exact"/>
        <w:ind w:firstLine="480" w:firstLineChars="200"/>
        <w:rPr>
          <w:rFonts w:ascii="宋体" w:hAnsi="宋体" w:cs="宋体"/>
          <w:sz w:val="24"/>
        </w:rPr>
      </w:pPr>
    </w:p>
    <w:p>
      <w:pPr>
        <w:widowControl/>
        <w:tabs>
          <w:tab w:val="left" w:pos="900"/>
        </w:tabs>
        <w:spacing w:before="78" w:after="78" w:line="440" w:lineRule="exact"/>
        <w:ind w:left="420" w:leftChars="200"/>
        <w:rPr>
          <w:rFonts w:ascii="宋体" w:hAnsi="宋体" w:cs="宋体"/>
          <w:sz w:val="24"/>
        </w:rPr>
      </w:pPr>
    </w:p>
    <w:p>
      <w:pPr>
        <w:widowControl/>
        <w:tabs>
          <w:tab w:val="left" w:pos="900"/>
        </w:tabs>
        <w:spacing w:before="78" w:after="78" w:line="440" w:lineRule="exact"/>
        <w:ind w:left="420" w:leftChars="200"/>
        <w:rPr>
          <w:rFonts w:ascii="宋体" w:hAnsi="宋体" w:cs="宋体"/>
          <w:sz w:val="24"/>
        </w:rPr>
      </w:pPr>
    </w:p>
    <w:p>
      <w:pPr>
        <w:widowControl/>
        <w:tabs>
          <w:tab w:val="left" w:pos="900"/>
        </w:tabs>
        <w:spacing w:before="78" w:after="78" w:line="440" w:lineRule="exact"/>
        <w:ind w:left="420" w:leftChars="200"/>
        <w:rPr>
          <w:rFonts w:ascii="宋体" w:hAnsi="宋体" w:cs="宋体"/>
          <w:sz w:val="24"/>
        </w:rPr>
      </w:pPr>
    </w:p>
    <w:p>
      <w:pPr>
        <w:widowControl/>
        <w:tabs>
          <w:tab w:val="left" w:pos="900"/>
        </w:tabs>
        <w:spacing w:before="78" w:after="78" w:line="440" w:lineRule="exact"/>
        <w:ind w:left="420" w:leftChars="200"/>
        <w:rPr>
          <w:rFonts w:ascii="宋体" w:hAnsi="宋体" w:cs="宋体"/>
          <w:sz w:val="24"/>
        </w:rPr>
      </w:pPr>
    </w:p>
    <w:p>
      <w:pPr>
        <w:widowControl/>
        <w:tabs>
          <w:tab w:val="left" w:pos="900"/>
        </w:tabs>
        <w:spacing w:before="78" w:after="78" w:line="440" w:lineRule="exact"/>
        <w:ind w:left="420" w:leftChars="200"/>
        <w:rPr>
          <w:rFonts w:ascii="宋体" w:hAnsi="宋体" w:cs="宋体"/>
          <w:sz w:val="24"/>
        </w:rPr>
      </w:pPr>
    </w:p>
    <w:p>
      <w:pPr>
        <w:widowControl/>
        <w:tabs>
          <w:tab w:val="left" w:pos="900"/>
        </w:tabs>
        <w:spacing w:before="78" w:after="78" w:line="440" w:lineRule="exact"/>
        <w:ind w:left="420" w:leftChars="200"/>
        <w:rPr>
          <w:rFonts w:ascii="宋体" w:hAnsi="宋体" w:cs="宋体"/>
          <w:sz w:val="24"/>
        </w:rPr>
      </w:pPr>
    </w:p>
    <w:p>
      <w:pPr>
        <w:widowControl/>
        <w:tabs>
          <w:tab w:val="left" w:pos="900"/>
        </w:tabs>
        <w:spacing w:before="78" w:after="78" w:line="440" w:lineRule="exact"/>
        <w:ind w:left="420" w:leftChars="200"/>
        <w:rPr>
          <w:rFonts w:ascii="宋体" w:hAnsi="宋体" w:cs="宋体"/>
          <w:sz w:val="24"/>
        </w:rPr>
      </w:pPr>
    </w:p>
    <w:p>
      <w:pPr>
        <w:spacing w:before="78" w:beforeLines="25" w:after="78" w:afterLines="25"/>
        <w:ind w:firstLine="562" w:firstLineChars="200"/>
        <w:jc w:val="center"/>
        <w:outlineLvl w:val="1"/>
        <w:rPr>
          <w:rFonts w:ascii="宋体" w:hAnsi="宋体" w:cs="宋体"/>
          <w:b/>
          <w:sz w:val="28"/>
          <w:szCs w:val="28"/>
        </w:rPr>
      </w:pPr>
      <w:bookmarkStart w:id="106" w:name="_Toc438714870"/>
      <w:bookmarkStart w:id="107" w:name="_Toc7992"/>
      <w:bookmarkStart w:id="108" w:name="_Toc12658"/>
      <w:r>
        <w:rPr>
          <w:rFonts w:hint="eastAsia" w:ascii="宋体" w:hAnsi="宋体" w:cs="宋体"/>
          <w:b/>
          <w:sz w:val="28"/>
          <w:szCs w:val="28"/>
        </w:rPr>
        <w:t>目  录</w:t>
      </w:r>
      <w:bookmarkEnd w:id="106"/>
      <w:bookmarkEnd w:id="107"/>
      <w:bookmarkEnd w:id="108"/>
    </w:p>
    <w:p>
      <w:pPr>
        <w:numPr>
          <w:ilvl w:val="0"/>
          <w:numId w:val="5"/>
        </w:numPr>
        <w:spacing w:before="78" w:beforeLines="25" w:after="78" w:afterLines="25"/>
        <w:ind w:firstLine="240"/>
        <w:rPr>
          <w:rFonts w:ascii="宋体" w:hAnsi="宋体" w:cs="宋体"/>
          <w:sz w:val="24"/>
        </w:rPr>
      </w:pPr>
      <w:r>
        <w:rPr>
          <w:rFonts w:hint="eastAsia" w:ascii="宋体" w:hAnsi="宋体" w:cs="宋体"/>
          <w:sz w:val="24"/>
        </w:rPr>
        <w:t>投标函</w:t>
      </w:r>
    </w:p>
    <w:p>
      <w:pPr>
        <w:numPr>
          <w:ilvl w:val="0"/>
          <w:numId w:val="5"/>
        </w:numPr>
        <w:spacing w:before="78" w:beforeLines="25" w:after="78" w:afterLines="25"/>
        <w:ind w:firstLine="240"/>
        <w:rPr>
          <w:rFonts w:ascii="宋体" w:hAnsi="宋体" w:cs="宋体"/>
          <w:sz w:val="24"/>
        </w:rPr>
      </w:pPr>
      <w:r>
        <w:rPr>
          <w:rFonts w:hint="eastAsia" w:ascii="宋体" w:hAnsi="宋体" w:cs="宋体"/>
          <w:bCs/>
          <w:sz w:val="24"/>
        </w:rPr>
        <w:t>法</w:t>
      </w:r>
      <w:r>
        <w:rPr>
          <w:rFonts w:hint="eastAsia" w:ascii="宋体" w:hAnsi="宋体" w:cs="宋体"/>
          <w:sz w:val="24"/>
        </w:rPr>
        <w:t>定代表人（负责人）身份证明书</w:t>
      </w:r>
    </w:p>
    <w:p>
      <w:pPr>
        <w:numPr>
          <w:ilvl w:val="0"/>
          <w:numId w:val="5"/>
        </w:numPr>
        <w:spacing w:before="78" w:beforeLines="25" w:after="78" w:afterLines="25"/>
        <w:ind w:firstLine="240"/>
        <w:rPr>
          <w:rFonts w:ascii="宋体" w:hAnsi="宋体" w:cs="宋体"/>
          <w:sz w:val="24"/>
        </w:rPr>
      </w:pPr>
      <w:r>
        <w:rPr>
          <w:rFonts w:hint="eastAsia" w:ascii="宋体" w:hAnsi="宋体" w:cs="宋体"/>
          <w:sz w:val="24"/>
        </w:rPr>
        <w:t>授权委托书（如果有）</w:t>
      </w:r>
    </w:p>
    <w:p>
      <w:pPr>
        <w:numPr>
          <w:ilvl w:val="0"/>
          <w:numId w:val="5"/>
        </w:numPr>
        <w:spacing w:before="78" w:beforeLines="25" w:after="78" w:afterLines="25"/>
        <w:ind w:firstLine="240"/>
        <w:rPr>
          <w:rFonts w:ascii="宋体" w:hAnsi="宋体" w:cs="宋体"/>
          <w:sz w:val="24"/>
        </w:rPr>
      </w:pPr>
      <w:r>
        <w:rPr>
          <w:rFonts w:hint="eastAsia" w:ascii="宋体" w:hAnsi="宋体" w:cs="宋体"/>
          <w:sz w:val="24"/>
        </w:rPr>
        <w:t>开标一览表</w:t>
      </w:r>
    </w:p>
    <w:p>
      <w:pPr>
        <w:numPr>
          <w:ilvl w:val="0"/>
          <w:numId w:val="5"/>
        </w:numPr>
        <w:spacing w:before="78" w:beforeLines="25" w:after="78" w:afterLines="25"/>
        <w:ind w:firstLine="240"/>
        <w:rPr>
          <w:rFonts w:ascii="宋体" w:hAnsi="宋体" w:cs="宋体"/>
          <w:sz w:val="24"/>
        </w:rPr>
      </w:pPr>
      <w:r>
        <w:rPr>
          <w:rFonts w:hint="eastAsia" w:ascii="宋体" w:hAnsi="宋体" w:cs="宋体"/>
          <w:sz w:val="24"/>
        </w:rPr>
        <w:t>投标分项价格表</w:t>
      </w:r>
    </w:p>
    <w:p>
      <w:pPr>
        <w:numPr>
          <w:ilvl w:val="0"/>
          <w:numId w:val="5"/>
        </w:numPr>
        <w:spacing w:before="78" w:beforeLines="25" w:after="78" w:afterLines="25"/>
        <w:ind w:firstLine="240"/>
        <w:rPr>
          <w:rFonts w:ascii="宋体" w:hAnsi="宋体" w:cs="宋体"/>
          <w:sz w:val="24"/>
        </w:rPr>
      </w:pPr>
      <w:r>
        <w:rPr>
          <w:rFonts w:hint="eastAsia" w:ascii="宋体" w:hAnsi="宋体" w:cs="宋体"/>
          <w:sz w:val="24"/>
        </w:rPr>
        <w:t>技术条款偏离表</w:t>
      </w:r>
    </w:p>
    <w:p>
      <w:pPr>
        <w:numPr>
          <w:ilvl w:val="0"/>
          <w:numId w:val="5"/>
        </w:numPr>
        <w:spacing w:before="78" w:beforeLines="25" w:after="78" w:afterLines="25"/>
        <w:ind w:firstLine="240"/>
        <w:rPr>
          <w:rFonts w:ascii="宋体" w:hAnsi="宋体" w:cs="宋体"/>
          <w:sz w:val="24"/>
        </w:rPr>
      </w:pPr>
      <w:r>
        <w:rPr>
          <w:rFonts w:hint="eastAsia" w:ascii="宋体" w:hAnsi="宋体" w:cs="宋体"/>
          <w:sz w:val="24"/>
        </w:rPr>
        <w:t>资格证明文件</w:t>
      </w:r>
    </w:p>
    <w:p>
      <w:pPr>
        <w:numPr>
          <w:ilvl w:val="0"/>
          <w:numId w:val="5"/>
        </w:numPr>
        <w:spacing w:before="78" w:beforeLines="25" w:after="78" w:afterLines="25"/>
        <w:ind w:firstLine="240"/>
        <w:rPr>
          <w:rFonts w:ascii="宋体" w:hAnsi="宋体" w:cs="宋体"/>
          <w:sz w:val="24"/>
        </w:rPr>
      </w:pPr>
      <w:r>
        <w:rPr>
          <w:rFonts w:hint="eastAsia" w:ascii="宋体" w:hAnsi="宋体" w:cs="宋体"/>
          <w:sz w:val="24"/>
        </w:rPr>
        <w:t>投标人承诺的服务条款</w:t>
      </w:r>
    </w:p>
    <w:p>
      <w:pPr>
        <w:numPr>
          <w:ilvl w:val="0"/>
          <w:numId w:val="5"/>
        </w:numPr>
        <w:spacing w:before="78" w:beforeLines="25" w:after="78" w:afterLines="25"/>
        <w:ind w:firstLine="240"/>
        <w:rPr>
          <w:rFonts w:ascii="宋体" w:hAnsi="宋体" w:cs="宋体"/>
          <w:sz w:val="24"/>
        </w:rPr>
      </w:pPr>
      <w:r>
        <w:rPr>
          <w:rFonts w:hint="eastAsia" w:ascii="宋体" w:hAnsi="宋体" w:cs="宋体"/>
          <w:sz w:val="24"/>
        </w:rPr>
        <w:t>事前信用承诺书</w:t>
      </w:r>
    </w:p>
    <w:p>
      <w:pPr>
        <w:numPr>
          <w:ilvl w:val="0"/>
          <w:numId w:val="5"/>
        </w:numPr>
        <w:spacing w:before="78" w:beforeLines="25" w:after="78" w:afterLines="25"/>
        <w:ind w:firstLine="240"/>
        <w:rPr>
          <w:rFonts w:ascii="宋体" w:hAnsi="宋体" w:cs="宋体"/>
          <w:sz w:val="24"/>
        </w:rPr>
        <w:sectPr>
          <w:footerReference r:id="rId12" w:type="default"/>
          <w:pgSz w:w="11906" w:h="16838"/>
          <w:pgMar w:top="1440" w:right="1134" w:bottom="1440" w:left="1134" w:header="851" w:footer="686" w:gutter="0"/>
          <w:cols w:space="720" w:num="1"/>
          <w:docGrid w:type="lines" w:linePitch="312" w:charSpace="0"/>
        </w:sectPr>
      </w:pPr>
      <w:r>
        <w:rPr>
          <w:rFonts w:hint="eastAsia" w:ascii="宋体" w:hAnsi="宋体" w:cs="宋体"/>
          <w:sz w:val="24"/>
        </w:rPr>
        <w:t>招标文件规定或投标人认为有必要提供的其他文件</w:t>
      </w:r>
    </w:p>
    <w:p>
      <w:pPr>
        <w:spacing w:before="78" w:after="78" w:line="360" w:lineRule="auto"/>
        <w:ind w:firstLine="281"/>
        <w:jc w:val="center"/>
        <w:outlineLvl w:val="1"/>
        <w:rPr>
          <w:rFonts w:ascii="宋体" w:hAnsi="宋体" w:cs="宋体"/>
          <w:b/>
          <w:bCs/>
          <w:sz w:val="28"/>
          <w:szCs w:val="28"/>
        </w:rPr>
      </w:pPr>
      <w:bookmarkStart w:id="109" w:name="_Toc17939"/>
      <w:r>
        <w:rPr>
          <w:rFonts w:hint="eastAsia" w:ascii="宋体" w:hAnsi="宋体" w:cs="宋体"/>
          <w:b/>
          <w:bCs/>
          <w:sz w:val="28"/>
          <w:szCs w:val="28"/>
        </w:rPr>
        <w:t>一、投标函</w:t>
      </w:r>
      <w:bookmarkEnd w:id="104"/>
      <w:bookmarkEnd w:id="105"/>
      <w:bookmarkEnd w:id="109"/>
    </w:p>
    <w:p>
      <w:pPr>
        <w:spacing w:before="78" w:after="78" w:line="360" w:lineRule="auto"/>
        <w:rPr>
          <w:rFonts w:ascii="宋体" w:hAnsi="宋体" w:cs="宋体"/>
          <w:sz w:val="24"/>
          <w:u w:val="single"/>
        </w:rPr>
      </w:pPr>
      <w:r>
        <w:rPr>
          <w:rFonts w:hint="eastAsia" w:ascii="宋体" w:hAnsi="宋体" w:cs="宋体"/>
          <w:sz w:val="24"/>
        </w:rPr>
        <w:t>致：</w:t>
      </w:r>
      <w:r>
        <w:rPr>
          <w:rFonts w:hint="eastAsia" w:ascii="宋体" w:hAnsi="宋体" w:cs="宋体"/>
          <w:sz w:val="24"/>
          <w:u w:val="single"/>
        </w:rPr>
        <w:t xml:space="preserve">（采购人） </w:t>
      </w:r>
    </w:p>
    <w:p>
      <w:pPr>
        <w:spacing w:before="78" w:after="78" w:line="360" w:lineRule="auto"/>
        <w:ind w:firstLine="480" w:firstLineChars="200"/>
        <w:rPr>
          <w:rFonts w:ascii="宋体" w:hAnsi="宋体" w:cs="宋体"/>
          <w:sz w:val="24"/>
        </w:rPr>
      </w:pPr>
      <w:r>
        <w:rPr>
          <w:rFonts w:hint="eastAsia" w:ascii="宋体" w:hAnsi="宋体" w:cs="宋体"/>
          <w:sz w:val="24"/>
        </w:rPr>
        <w:t>根据贵方</w:t>
      </w:r>
      <w:r>
        <w:rPr>
          <w:rFonts w:hint="eastAsia" w:ascii="宋体" w:hAnsi="宋体" w:cs="宋体"/>
          <w:sz w:val="24"/>
          <w:u w:val="single"/>
        </w:rPr>
        <w:t>（项目编号）</w:t>
      </w:r>
      <w:r>
        <w:rPr>
          <w:rFonts w:hint="eastAsia" w:ascii="宋体" w:hAnsi="宋体" w:cs="宋体"/>
          <w:sz w:val="24"/>
        </w:rPr>
        <w:t>为</w:t>
      </w:r>
      <w:r>
        <w:rPr>
          <w:rFonts w:hint="eastAsia" w:ascii="宋体" w:hAnsi="宋体" w:cs="宋体"/>
          <w:sz w:val="24"/>
          <w:u w:val="single"/>
        </w:rPr>
        <w:t>（项目名称 ）</w:t>
      </w:r>
      <w:r>
        <w:rPr>
          <w:rFonts w:hint="eastAsia" w:ascii="宋体" w:hAnsi="宋体" w:cs="宋体"/>
          <w:sz w:val="24"/>
        </w:rPr>
        <w:t>的</w:t>
      </w:r>
      <w:r>
        <w:rPr>
          <w:rFonts w:hint="eastAsia" w:ascii="宋体" w:hAnsi="宋体" w:cs="宋体"/>
          <w:bCs/>
          <w:kern w:val="0"/>
          <w:sz w:val="24"/>
        </w:rPr>
        <w:t>项目</w:t>
      </w:r>
      <w:r>
        <w:rPr>
          <w:rFonts w:hint="eastAsia" w:ascii="宋体" w:hAnsi="宋体" w:cs="宋体"/>
          <w:sz w:val="24"/>
        </w:rPr>
        <w:t>招标采购公告和招标文件，我方授权代表</w:t>
      </w:r>
      <w:r>
        <w:rPr>
          <w:rFonts w:hint="eastAsia" w:ascii="宋体" w:hAnsi="宋体" w:cs="宋体"/>
          <w:sz w:val="24"/>
          <w:u w:val="single"/>
        </w:rPr>
        <w:t xml:space="preserve">（姓名)    </w:t>
      </w:r>
      <w:r>
        <w:rPr>
          <w:rFonts w:hint="eastAsia" w:ascii="宋体" w:hAnsi="宋体" w:cs="宋体"/>
          <w:sz w:val="24"/>
        </w:rPr>
        <w:t>经正式授权并代表投标人</w:t>
      </w:r>
      <w:r>
        <w:rPr>
          <w:rFonts w:hint="eastAsia" w:ascii="宋体" w:hAnsi="宋体" w:cs="宋体"/>
          <w:sz w:val="24"/>
          <w:u w:val="single"/>
        </w:rPr>
        <w:t xml:space="preserve">(投标人名称)  </w:t>
      </w:r>
      <w:r>
        <w:rPr>
          <w:rFonts w:hint="eastAsia" w:ascii="宋体" w:hAnsi="宋体" w:cs="宋体"/>
          <w:sz w:val="24"/>
        </w:rPr>
        <w:t>提交投标文件。</w:t>
      </w:r>
    </w:p>
    <w:p>
      <w:pPr>
        <w:pStyle w:val="2"/>
        <w:adjustRightInd/>
        <w:spacing w:before="78" w:after="78"/>
        <w:ind w:firstLineChars="200"/>
        <w:rPr>
          <w:rFonts w:ascii="宋体" w:hAnsi="宋体" w:cs="宋体"/>
          <w:kern w:val="2"/>
        </w:rPr>
      </w:pPr>
      <w:r>
        <w:rPr>
          <w:rFonts w:hint="eastAsia" w:ascii="宋体" w:hAnsi="宋体" w:cs="宋体"/>
          <w:kern w:val="2"/>
        </w:rPr>
        <w:t>1.按招标文件规定的各项要求提供合格的产品和服务。</w:t>
      </w:r>
    </w:p>
    <w:p>
      <w:pPr>
        <w:pStyle w:val="2"/>
        <w:adjustRightInd/>
        <w:spacing w:before="78" w:after="78"/>
        <w:ind w:firstLineChars="200"/>
        <w:rPr>
          <w:rFonts w:ascii="宋体" w:hAnsi="宋体" w:cs="宋体"/>
          <w:kern w:val="2"/>
        </w:rPr>
      </w:pPr>
      <w:r>
        <w:rPr>
          <w:rFonts w:hint="eastAsia" w:ascii="宋体" w:hAnsi="宋体" w:cs="宋体"/>
          <w:kern w:val="2"/>
        </w:rPr>
        <w:t>2.我们完全理解贵方不一定将合同授予最低报价的投标人。</w:t>
      </w:r>
    </w:p>
    <w:p>
      <w:pPr>
        <w:pStyle w:val="2"/>
        <w:adjustRightInd/>
        <w:spacing w:before="78" w:after="78"/>
        <w:ind w:firstLineChars="200"/>
        <w:rPr>
          <w:rFonts w:ascii="宋体" w:hAnsi="宋体" w:cs="宋体"/>
          <w:kern w:val="2"/>
        </w:rPr>
      </w:pPr>
      <w:r>
        <w:rPr>
          <w:rFonts w:hint="eastAsia" w:ascii="宋体" w:hAnsi="宋体" w:cs="宋体"/>
          <w:kern w:val="2"/>
        </w:rPr>
        <w:t>3.我们已详细审核全部招标文件及其有效补充文件，我们知道必须放弃提出含糊不清或误解问题的权利。</w:t>
      </w:r>
    </w:p>
    <w:p>
      <w:pPr>
        <w:pStyle w:val="2"/>
        <w:adjustRightInd/>
        <w:spacing w:before="78" w:after="78"/>
        <w:ind w:firstLineChars="200"/>
        <w:rPr>
          <w:rFonts w:ascii="宋体" w:hAnsi="宋体" w:cs="宋体"/>
          <w:kern w:val="2"/>
        </w:rPr>
      </w:pPr>
      <w:r>
        <w:rPr>
          <w:rFonts w:hint="eastAsia" w:ascii="宋体" w:hAnsi="宋体" w:cs="宋体"/>
          <w:kern w:val="2"/>
        </w:rPr>
        <w:t>4.我们同意从规定的开标日期起遵循本投标文件，并在规定的投标有效期期满之前均具有约束力。</w:t>
      </w:r>
    </w:p>
    <w:p>
      <w:pPr>
        <w:pStyle w:val="2"/>
        <w:adjustRightInd/>
        <w:spacing w:before="78" w:after="78"/>
        <w:ind w:firstLineChars="200"/>
        <w:rPr>
          <w:rFonts w:ascii="宋体" w:hAnsi="宋体" w:cs="宋体"/>
          <w:kern w:val="2"/>
        </w:rPr>
      </w:pPr>
      <w:r>
        <w:rPr>
          <w:rFonts w:hint="eastAsia" w:ascii="宋体" w:hAnsi="宋体" w:cs="宋体"/>
          <w:kern w:val="2"/>
        </w:rPr>
        <w:t>5.同意向贵方提供贵方可能另外要求的与投标有关的任何证据或资料，并保证我方已提供和将要提供的文件是真实的、准确的。</w:t>
      </w:r>
    </w:p>
    <w:p>
      <w:pPr>
        <w:pStyle w:val="2"/>
        <w:adjustRightInd/>
        <w:spacing w:before="78" w:after="78"/>
        <w:ind w:firstLineChars="200"/>
        <w:rPr>
          <w:rFonts w:ascii="宋体" w:hAnsi="宋体" w:cs="宋体"/>
          <w:kern w:val="2"/>
        </w:rPr>
      </w:pPr>
      <w:r>
        <w:rPr>
          <w:rFonts w:hint="eastAsia" w:ascii="宋体" w:hAnsi="宋体" w:cs="宋体"/>
          <w:kern w:val="2"/>
        </w:rPr>
        <w:t>6.一旦我方中标,我方将根据招标文件的规定，严格履行合同的责任和义务,并保证在规定的时间完成项目，交付甲方验收、使用。</w:t>
      </w:r>
    </w:p>
    <w:p>
      <w:pPr>
        <w:spacing w:before="78" w:after="78" w:line="360" w:lineRule="auto"/>
        <w:ind w:firstLine="480" w:firstLineChars="200"/>
        <w:rPr>
          <w:rFonts w:ascii="宋体" w:hAnsi="宋体" w:cs="宋体"/>
          <w:sz w:val="24"/>
        </w:rPr>
      </w:pPr>
    </w:p>
    <w:p>
      <w:pPr>
        <w:tabs>
          <w:tab w:val="left" w:pos="2814"/>
        </w:tabs>
        <w:spacing w:before="78" w:after="78" w:line="360" w:lineRule="auto"/>
        <w:ind w:firstLine="216"/>
        <w:rPr>
          <w:rFonts w:ascii="宋体" w:hAnsi="宋体" w:cs="宋体"/>
          <w:w w:val="90"/>
          <w:sz w:val="24"/>
        </w:rPr>
      </w:pPr>
    </w:p>
    <w:p>
      <w:pPr>
        <w:tabs>
          <w:tab w:val="left" w:pos="2814"/>
        </w:tabs>
        <w:spacing w:before="78" w:after="78" w:line="360" w:lineRule="auto"/>
        <w:jc w:val="left"/>
        <w:rPr>
          <w:rFonts w:ascii="宋体" w:hAnsi="宋体" w:cs="宋体"/>
          <w:w w:val="90"/>
          <w:sz w:val="24"/>
        </w:rPr>
      </w:pPr>
      <w:r>
        <w:rPr>
          <w:rFonts w:hint="eastAsia" w:ascii="宋体" w:hAnsi="宋体" w:cs="宋体"/>
          <w:sz w:val="24"/>
        </w:rPr>
        <w:t>投标人（盖章）：</w:t>
      </w:r>
    </w:p>
    <w:p>
      <w:pPr>
        <w:spacing w:before="78" w:after="78" w:line="360" w:lineRule="auto"/>
        <w:jc w:val="left"/>
        <w:rPr>
          <w:rFonts w:ascii="宋体" w:hAnsi="宋体" w:cs="宋体"/>
          <w:sz w:val="24"/>
        </w:rPr>
      </w:pPr>
      <w:r>
        <w:rPr>
          <w:rFonts w:hint="eastAsia" w:ascii="宋体" w:hAnsi="宋体" w:cs="宋体"/>
          <w:sz w:val="24"/>
        </w:rPr>
        <w:t>法定代表人（负责人）或其授权代表（签字或盖章）</w:t>
      </w:r>
      <w:r>
        <w:rPr>
          <w:rFonts w:hint="eastAsia" w:ascii="宋体" w:hAnsi="宋体" w:cs="宋体"/>
          <w:w w:val="90"/>
          <w:sz w:val="24"/>
        </w:rPr>
        <w:t>：</w:t>
      </w:r>
    </w:p>
    <w:p>
      <w:pPr>
        <w:tabs>
          <w:tab w:val="left" w:pos="2814"/>
        </w:tabs>
        <w:spacing w:before="78" w:after="78" w:line="360" w:lineRule="auto"/>
        <w:jc w:val="left"/>
        <w:rPr>
          <w:rFonts w:ascii="宋体" w:hAnsi="宋体" w:cs="宋体"/>
          <w:w w:val="90"/>
          <w:sz w:val="24"/>
        </w:rPr>
      </w:pPr>
      <w:r>
        <w:rPr>
          <w:rFonts w:hint="eastAsia" w:ascii="宋体" w:hAnsi="宋体" w:cs="宋体"/>
          <w:sz w:val="24"/>
        </w:rPr>
        <w:t>地址：</w:t>
      </w:r>
    </w:p>
    <w:p>
      <w:pPr>
        <w:tabs>
          <w:tab w:val="left" w:pos="2814"/>
        </w:tabs>
        <w:spacing w:before="78" w:after="78" w:line="360" w:lineRule="auto"/>
        <w:jc w:val="left"/>
        <w:rPr>
          <w:rFonts w:ascii="宋体" w:hAnsi="宋体" w:cs="宋体"/>
          <w:w w:val="90"/>
          <w:sz w:val="24"/>
        </w:rPr>
      </w:pPr>
      <w:r>
        <w:rPr>
          <w:rFonts w:hint="eastAsia" w:ascii="宋体" w:hAnsi="宋体" w:cs="宋体"/>
          <w:sz w:val="24"/>
        </w:rPr>
        <w:t xml:space="preserve">传真： </w:t>
      </w:r>
    </w:p>
    <w:p>
      <w:pPr>
        <w:tabs>
          <w:tab w:val="left" w:pos="2814"/>
        </w:tabs>
        <w:spacing w:before="78" w:after="78" w:line="360" w:lineRule="auto"/>
        <w:jc w:val="left"/>
        <w:rPr>
          <w:rFonts w:ascii="宋体" w:hAnsi="宋体" w:cs="宋体"/>
          <w:w w:val="90"/>
          <w:sz w:val="24"/>
        </w:rPr>
      </w:pPr>
      <w:r>
        <w:rPr>
          <w:rFonts w:hint="eastAsia" w:ascii="宋体" w:hAnsi="宋体" w:cs="宋体"/>
          <w:sz w:val="24"/>
        </w:rPr>
        <w:t>电话：</w:t>
      </w:r>
    </w:p>
    <w:p>
      <w:pPr>
        <w:tabs>
          <w:tab w:val="left" w:pos="2814"/>
        </w:tabs>
        <w:spacing w:before="78" w:after="78" w:line="360" w:lineRule="auto"/>
        <w:jc w:val="left"/>
        <w:rPr>
          <w:rFonts w:ascii="宋体" w:hAnsi="宋体" w:cs="宋体"/>
          <w:sz w:val="24"/>
        </w:rPr>
      </w:pPr>
      <w:r>
        <w:rPr>
          <w:rFonts w:hint="eastAsia" w:ascii="宋体" w:hAnsi="宋体" w:cs="宋体"/>
          <w:sz w:val="24"/>
        </w:rPr>
        <w:t>日期：    年   月   日</w:t>
      </w:r>
    </w:p>
    <w:p>
      <w:pPr>
        <w:tabs>
          <w:tab w:val="center" w:pos="4621"/>
          <w:tab w:val="left" w:pos="6135"/>
        </w:tabs>
        <w:spacing w:before="78" w:after="78" w:line="360" w:lineRule="auto"/>
        <w:jc w:val="center"/>
        <w:outlineLvl w:val="1"/>
        <w:rPr>
          <w:rFonts w:ascii="宋体" w:hAnsi="宋体" w:cs="宋体"/>
          <w:b/>
          <w:bCs/>
          <w:sz w:val="28"/>
          <w:szCs w:val="28"/>
        </w:rPr>
      </w:pPr>
      <w:r>
        <w:rPr>
          <w:rFonts w:hint="eastAsia" w:ascii="宋体" w:hAnsi="宋体" w:cs="宋体"/>
          <w:kern w:val="0"/>
          <w:sz w:val="24"/>
        </w:rPr>
        <w:br w:type="page"/>
      </w:r>
      <w:bookmarkStart w:id="110" w:name="_Toc6449"/>
      <w:bookmarkStart w:id="111" w:name="_Toc137"/>
      <w:bookmarkStart w:id="112" w:name="_Toc46"/>
      <w:bookmarkStart w:id="113" w:name="_Toc12122"/>
      <w:bookmarkStart w:id="114" w:name="_Toc12557"/>
      <w:bookmarkStart w:id="115" w:name="_Toc31418"/>
      <w:bookmarkStart w:id="116" w:name="_Toc6260"/>
      <w:bookmarkStart w:id="117" w:name="_Toc32090"/>
      <w:bookmarkStart w:id="118" w:name="_Toc158"/>
      <w:bookmarkStart w:id="119" w:name="_Toc16421"/>
      <w:r>
        <w:rPr>
          <w:rFonts w:hint="eastAsia" w:ascii="宋体" w:hAnsi="宋体" w:cs="宋体"/>
          <w:b/>
          <w:bCs/>
          <w:sz w:val="28"/>
          <w:szCs w:val="28"/>
        </w:rPr>
        <w:t>二、法定代表人（负责人）身份证明书</w:t>
      </w:r>
      <w:bookmarkEnd w:id="110"/>
      <w:bookmarkEnd w:id="111"/>
      <w:bookmarkEnd w:id="112"/>
      <w:bookmarkEnd w:id="113"/>
      <w:bookmarkEnd w:id="114"/>
      <w:bookmarkEnd w:id="115"/>
      <w:bookmarkEnd w:id="116"/>
      <w:bookmarkEnd w:id="117"/>
      <w:bookmarkEnd w:id="118"/>
      <w:bookmarkEnd w:id="119"/>
    </w:p>
    <w:p>
      <w:pPr>
        <w:spacing w:before="78" w:after="78" w:line="360" w:lineRule="auto"/>
        <w:ind w:firstLine="480" w:firstLineChars="200"/>
        <w:rPr>
          <w:rFonts w:ascii="宋体" w:hAnsi="宋体" w:cs="宋体"/>
          <w:sz w:val="24"/>
          <w:u w:val="single"/>
        </w:rPr>
      </w:pPr>
      <w:r>
        <w:rPr>
          <w:rFonts w:hint="eastAsia" w:ascii="宋体" w:hAnsi="宋体" w:cs="宋体"/>
          <w:sz w:val="24"/>
        </w:rPr>
        <w:t>单位名称：</w:t>
      </w:r>
    </w:p>
    <w:p>
      <w:pPr>
        <w:spacing w:before="78" w:after="78" w:line="360" w:lineRule="auto"/>
        <w:ind w:firstLine="480" w:firstLineChars="200"/>
        <w:rPr>
          <w:rFonts w:ascii="宋体" w:hAnsi="宋体" w:cs="宋体"/>
          <w:sz w:val="24"/>
          <w:u w:val="single"/>
        </w:rPr>
      </w:pPr>
      <w:r>
        <w:rPr>
          <w:rFonts w:hint="eastAsia" w:ascii="宋体" w:hAnsi="宋体" w:cs="宋体"/>
          <w:sz w:val="24"/>
        </w:rPr>
        <w:t>单位性质：</w:t>
      </w:r>
    </w:p>
    <w:p>
      <w:pPr>
        <w:spacing w:before="78" w:after="78" w:line="360" w:lineRule="auto"/>
        <w:ind w:firstLine="480" w:firstLineChars="200"/>
        <w:rPr>
          <w:rFonts w:ascii="宋体" w:hAnsi="宋体" w:cs="宋体"/>
          <w:sz w:val="24"/>
          <w:u w:val="single"/>
        </w:rPr>
      </w:pPr>
      <w:r>
        <w:rPr>
          <w:rFonts w:hint="eastAsia" w:ascii="宋体" w:hAnsi="宋体" w:cs="宋体"/>
          <w:sz w:val="24"/>
        </w:rPr>
        <w:t>地    址：</w:t>
      </w:r>
    </w:p>
    <w:p>
      <w:pPr>
        <w:spacing w:before="78" w:after="78" w:line="360" w:lineRule="auto"/>
        <w:ind w:firstLine="480" w:firstLineChars="200"/>
        <w:rPr>
          <w:rFonts w:ascii="宋体" w:hAnsi="宋体" w:cs="宋体"/>
          <w:sz w:val="24"/>
        </w:rPr>
      </w:pPr>
      <w:r>
        <w:rPr>
          <w:rFonts w:hint="eastAsia" w:ascii="宋体" w:hAnsi="宋体" w:cs="宋体"/>
          <w:sz w:val="24"/>
        </w:rPr>
        <w:t xml:space="preserve">成立时间：年月日          </w:t>
      </w:r>
    </w:p>
    <w:p>
      <w:pPr>
        <w:spacing w:before="78" w:after="78" w:line="360" w:lineRule="auto"/>
        <w:ind w:firstLine="480" w:firstLineChars="200"/>
        <w:rPr>
          <w:rFonts w:ascii="宋体" w:hAnsi="宋体" w:cs="宋体"/>
          <w:sz w:val="24"/>
          <w:u w:val="single"/>
        </w:rPr>
      </w:pPr>
      <w:r>
        <w:rPr>
          <w:rFonts w:hint="eastAsia" w:ascii="宋体" w:hAnsi="宋体" w:cs="宋体"/>
          <w:sz w:val="24"/>
        </w:rPr>
        <w:t>姓名：性别： 年龄： 职务：身份证号码：</w:t>
      </w:r>
    </w:p>
    <w:p>
      <w:pPr>
        <w:spacing w:before="78" w:after="78" w:line="360" w:lineRule="auto"/>
        <w:ind w:firstLine="480" w:firstLineChars="200"/>
        <w:rPr>
          <w:rFonts w:ascii="宋体" w:hAnsi="宋体" w:cs="宋体"/>
          <w:sz w:val="24"/>
        </w:rPr>
      </w:pPr>
      <w:r>
        <w:rPr>
          <w:rFonts w:hint="eastAsia" w:ascii="宋体" w:hAnsi="宋体" w:cs="宋体"/>
          <w:sz w:val="24"/>
        </w:rPr>
        <w:t>系</w:t>
      </w:r>
      <w:r>
        <w:rPr>
          <w:rFonts w:hint="eastAsia" w:ascii="宋体" w:hAnsi="宋体" w:cs="宋体"/>
          <w:sz w:val="24"/>
          <w:u w:val="single"/>
        </w:rPr>
        <w:t xml:space="preserve">        （单位名称） </w:t>
      </w:r>
      <w:r>
        <w:rPr>
          <w:rFonts w:hint="eastAsia" w:ascii="宋体" w:hAnsi="宋体" w:cs="宋体"/>
          <w:sz w:val="24"/>
        </w:rPr>
        <w:t>的法定代表人（负责人）。</w:t>
      </w:r>
    </w:p>
    <w:p>
      <w:pPr>
        <w:spacing w:before="78" w:after="78" w:line="360" w:lineRule="auto"/>
        <w:ind w:firstLine="480" w:firstLineChars="200"/>
        <w:rPr>
          <w:rFonts w:ascii="宋体" w:hAnsi="宋体" w:cs="宋体"/>
          <w:sz w:val="24"/>
        </w:rPr>
      </w:pPr>
    </w:p>
    <w:p>
      <w:pPr>
        <w:spacing w:before="78" w:after="78" w:line="360" w:lineRule="auto"/>
        <w:ind w:firstLine="480" w:firstLineChars="200"/>
        <w:rPr>
          <w:rFonts w:ascii="宋体" w:hAnsi="宋体" w:cs="宋体"/>
          <w:sz w:val="24"/>
        </w:rPr>
      </w:pPr>
      <w:r>
        <w:rPr>
          <w:rFonts w:hint="eastAsia" w:ascii="宋体" w:hAnsi="宋体" w:cs="宋体"/>
          <w:sz w:val="24"/>
        </w:rPr>
        <w:t>特此证明。</w:t>
      </w:r>
    </w:p>
    <w:p>
      <w:pPr>
        <w:spacing w:before="78" w:after="78" w:line="360" w:lineRule="auto"/>
        <w:ind w:firstLine="3840" w:firstLineChars="1600"/>
        <w:rPr>
          <w:rFonts w:ascii="宋体" w:hAnsi="宋体" w:cs="宋体"/>
          <w:sz w:val="24"/>
        </w:rPr>
      </w:pPr>
    </w:p>
    <w:p>
      <w:pPr>
        <w:spacing w:before="78" w:after="78" w:line="360" w:lineRule="auto"/>
        <w:ind w:firstLine="1080" w:firstLineChars="450"/>
        <w:rPr>
          <w:rFonts w:ascii="宋体" w:hAnsi="宋体" w:cs="宋体"/>
          <w:kern w:val="0"/>
          <w:sz w:val="24"/>
        </w:rPr>
      </w:pPr>
      <w:r>
        <w:rPr>
          <w:rFonts w:hint="eastAsia" w:ascii="宋体" w:hAnsi="宋体" w:cs="宋体"/>
          <w:kern w:val="0"/>
          <w:sz w:val="24"/>
        </w:rPr>
        <w:t xml:space="preserve">投标人（盖章）： </w:t>
      </w:r>
    </w:p>
    <w:p>
      <w:pPr>
        <w:spacing w:before="78" w:after="78" w:line="360" w:lineRule="auto"/>
        <w:ind w:firstLine="1302" w:firstLineChars="600"/>
        <w:rPr>
          <w:rFonts w:ascii="宋体" w:hAnsi="宋体" w:cs="宋体"/>
          <w:b/>
          <w:w w:val="90"/>
          <w:sz w:val="24"/>
        </w:rPr>
      </w:pPr>
    </w:p>
    <w:p>
      <w:pPr>
        <w:spacing w:before="78" w:after="78" w:line="360" w:lineRule="auto"/>
        <w:rPr>
          <w:rFonts w:ascii="宋体" w:hAnsi="宋体" w:cs="宋体"/>
          <w:sz w:val="24"/>
        </w:rPr>
      </w:pPr>
      <w:r>
        <w:rPr>
          <w:rFonts w:hint="eastAsia" w:ascii="宋体" w:hAnsi="宋体" w:cs="宋体"/>
          <w:sz w:val="24"/>
        </w:rPr>
        <w:t xml:space="preserve">         日  期：    年    月    日</w:t>
      </w:r>
    </w:p>
    <w:p>
      <w:pPr>
        <w:spacing w:before="78" w:after="78" w:line="360" w:lineRule="auto"/>
        <w:ind w:firstLine="280"/>
        <w:rPr>
          <w:rFonts w:ascii="宋体" w:hAnsi="宋体" w:cs="宋体"/>
          <w:spacing w:val="20"/>
          <w:sz w:val="24"/>
        </w:rPr>
      </w:pPr>
    </w:p>
    <w:p>
      <w:pPr>
        <w:pStyle w:val="18"/>
        <w:spacing w:before="78" w:after="78" w:line="480" w:lineRule="exact"/>
        <w:ind w:firstLine="241"/>
        <w:jc w:val="center"/>
        <w:rPr>
          <w:rFonts w:ascii="宋体" w:hAnsi="宋体" w:cs="宋体"/>
          <w:b/>
          <w:szCs w:val="24"/>
        </w:rPr>
      </w:pPr>
    </w:p>
    <w:p>
      <w:pPr>
        <w:pStyle w:val="18"/>
        <w:spacing w:before="78" w:after="78" w:line="480" w:lineRule="exact"/>
        <w:ind w:firstLine="241"/>
        <w:jc w:val="center"/>
        <w:rPr>
          <w:rFonts w:ascii="宋体" w:hAnsi="宋体" w:cs="宋体"/>
          <w:b/>
          <w:szCs w:val="24"/>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7" w:hRule="atLeast"/>
          <w:jc w:val="center"/>
        </w:trPr>
        <w:tc>
          <w:tcPr>
            <w:tcW w:w="7740" w:type="dxa"/>
            <w:vAlign w:val="center"/>
          </w:tcPr>
          <w:p>
            <w:pPr>
              <w:adjustRightInd w:val="0"/>
              <w:snapToGrid w:val="0"/>
              <w:spacing w:before="78" w:after="78" w:line="460" w:lineRule="exact"/>
              <w:ind w:firstLine="360" w:firstLineChars="150"/>
              <w:jc w:val="center"/>
              <w:rPr>
                <w:rFonts w:ascii="宋体" w:hAnsi="宋体" w:cs="宋体"/>
                <w:b/>
              </w:rPr>
            </w:pPr>
            <w:r>
              <w:rPr>
                <w:rFonts w:hint="eastAsia" w:ascii="宋体" w:hAnsi="宋体" w:cs="宋体"/>
                <w:sz w:val="24"/>
              </w:rPr>
              <w:t>法定代表人（负责人）身份证复印粘贴处（正反面）</w:t>
            </w:r>
          </w:p>
        </w:tc>
      </w:tr>
    </w:tbl>
    <w:p>
      <w:pPr>
        <w:adjustRightInd w:val="0"/>
        <w:snapToGrid w:val="0"/>
        <w:spacing w:before="78" w:after="78" w:line="460" w:lineRule="exact"/>
        <w:ind w:firstLine="360" w:firstLineChars="150"/>
        <w:jc w:val="center"/>
        <w:rPr>
          <w:rFonts w:ascii="宋体" w:hAnsi="宋体" w:cs="宋体"/>
          <w:sz w:val="24"/>
        </w:rPr>
      </w:pPr>
    </w:p>
    <w:p>
      <w:pPr>
        <w:spacing w:before="78" w:after="78" w:line="360" w:lineRule="auto"/>
        <w:ind w:firstLine="280"/>
        <w:jc w:val="center"/>
        <w:outlineLvl w:val="1"/>
        <w:rPr>
          <w:rFonts w:ascii="宋体" w:hAnsi="宋体" w:cs="宋体"/>
          <w:b/>
          <w:bCs/>
          <w:sz w:val="28"/>
          <w:szCs w:val="28"/>
        </w:rPr>
      </w:pPr>
      <w:r>
        <w:rPr>
          <w:rFonts w:hint="eastAsia" w:ascii="宋体" w:hAnsi="宋体" w:cs="宋体"/>
          <w:spacing w:val="20"/>
          <w:sz w:val="24"/>
        </w:rPr>
        <w:br w:type="page"/>
      </w:r>
      <w:bookmarkStart w:id="120" w:name="_Toc30156"/>
      <w:bookmarkStart w:id="121" w:name="_Toc18"/>
      <w:bookmarkStart w:id="122" w:name="_Toc13424"/>
      <w:bookmarkStart w:id="123" w:name="_Toc19467"/>
      <w:bookmarkStart w:id="124" w:name="_Toc21982"/>
      <w:bookmarkStart w:id="125" w:name="_Toc5490"/>
      <w:bookmarkStart w:id="126" w:name="_Toc18632"/>
      <w:bookmarkStart w:id="127" w:name="_Toc17140"/>
      <w:bookmarkStart w:id="128" w:name="_Toc29992"/>
      <w:r>
        <w:rPr>
          <w:rFonts w:hint="eastAsia" w:ascii="宋体" w:hAnsi="宋体" w:cs="宋体"/>
          <w:b/>
          <w:bCs/>
          <w:sz w:val="28"/>
          <w:szCs w:val="28"/>
        </w:rPr>
        <w:t>三、授权委托书（如果有）</w:t>
      </w:r>
      <w:bookmarkEnd w:id="120"/>
      <w:bookmarkEnd w:id="121"/>
      <w:bookmarkEnd w:id="122"/>
      <w:bookmarkEnd w:id="123"/>
      <w:bookmarkEnd w:id="124"/>
      <w:bookmarkEnd w:id="125"/>
      <w:bookmarkEnd w:id="126"/>
      <w:bookmarkEnd w:id="127"/>
      <w:bookmarkEnd w:id="128"/>
    </w:p>
    <w:p>
      <w:pPr>
        <w:pStyle w:val="2"/>
        <w:spacing w:before="78" w:after="78" w:line="420" w:lineRule="exact"/>
        <w:ind w:firstLineChars="200"/>
        <w:rPr>
          <w:rFonts w:ascii="宋体" w:hAnsi="宋体" w:cs="宋体"/>
          <w:kern w:val="2"/>
        </w:rPr>
      </w:pPr>
      <w:r>
        <w:rPr>
          <w:rFonts w:hint="eastAsia" w:ascii="宋体" w:hAnsi="宋体" w:cs="宋体"/>
          <w:kern w:val="2"/>
        </w:rPr>
        <w:t>本授权书声明：</w:t>
      </w:r>
      <w:r>
        <w:rPr>
          <w:rFonts w:hint="eastAsia" w:ascii="宋体" w:hAnsi="宋体" w:cs="宋体"/>
          <w:kern w:val="2"/>
          <w:u w:val="single"/>
        </w:rPr>
        <w:t xml:space="preserve">  （投标人名称）</w:t>
      </w:r>
      <w:r>
        <w:rPr>
          <w:rFonts w:hint="eastAsia" w:ascii="宋体" w:hAnsi="宋体" w:cs="宋体"/>
          <w:kern w:val="2"/>
        </w:rPr>
        <w:t>的</w:t>
      </w:r>
      <w:r>
        <w:rPr>
          <w:rFonts w:hint="eastAsia" w:ascii="宋体" w:hAnsi="宋体" w:cs="宋体"/>
          <w:kern w:val="2"/>
          <w:u w:val="single"/>
        </w:rPr>
        <w:t xml:space="preserve">  （法定代表人（负责人）姓名）</w:t>
      </w:r>
      <w:r>
        <w:rPr>
          <w:rFonts w:hint="eastAsia" w:ascii="宋体" w:hAnsi="宋体" w:cs="宋体"/>
          <w:kern w:val="2"/>
        </w:rPr>
        <w:t>授权</w:t>
      </w:r>
      <w:r>
        <w:rPr>
          <w:rFonts w:hint="eastAsia" w:ascii="宋体" w:hAnsi="宋体" w:cs="宋体"/>
          <w:kern w:val="2"/>
          <w:u w:val="single"/>
        </w:rPr>
        <w:t>（被授权人的单位、姓名、职务）</w:t>
      </w:r>
      <w:r>
        <w:rPr>
          <w:rFonts w:hint="eastAsia" w:ascii="宋体" w:hAnsi="宋体" w:cs="宋体"/>
          <w:kern w:val="2"/>
        </w:rPr>
        <w:t>为我方参加</w:t>
      </w:r>
      <w:r>
        <w:rPr>
          <w:rFonts w:hint="eastAsia" w:ascii="宋体" w:hAnsi="宋体" w:cs="宋体"/>
          <w:kern w:val="2"/>
          <w:u w:val="single"/>
        </w:rPr>
        <w:t xml:space="preserve"> （项目编号）</w:t>
      </w:r>
      <w:r>
        <w:rPr>
          <w:rFonts w:hint="eastAsia" w:ascii="宋体" w:hAnsi="宋体" w:cs="宋体"/>
          <w:kern w:val="2"/>
        </w:rPr>
        <w:t>的</w:t>
      </w:r>
      <w:r>
        <w:rPr>
          <w:rFonts w:hint="eastAsia" w:ascii="宋体" w:hAnsi="宋体" w:cs="宋体"/>
          <w:spacing w:val="15"/>
          <w:u w:val="single"/>
        </w:rPr>
        <w:t xml:space="preserve">（项目名称） </w:t>
      </w:r>
      <w:r>
        <w:rPr>
          <w:rFonts w:hint="eastAsia" w:ascii="宋体" w:hAnsi="宋体" w:cs="宋体"/>
          <w:kern w:val="2"/>
        </w:rPr>
        <w:t>活动的合法代表，以本单位名义全权处理投标文件递交、澄清、质疑、投诉、签订项目合同等一切与该项目投标有关的事务，未经采购人同意，不得更换被授权委托人。</w:t>
      </w:r>
    </w:p>
    <w:p>
      <w:pPr>
        <w:pStyle w:val="2"/>
        <w:spacing w:before="78" w:after="78" w:line="420" w:lineRule="exact"/>
        <w:ind w:firstLineChars="200"/>
        <w:rPr>
          <w:rFonts w:ascii="宋体" w:hAnsi="宋体" w:cs="宋体"/>
          <w:kern w:val="2"/>
        </w:rPr>
      </w:pPr>
    </w:p>
    <w:p>
      <w:pPr>
        <w:adjustRightInd w:val="0"/>
        <w:snapToGrid w:val="0"/>
        <w:spacing w:before="78" w:after="78" w:line="460" w:lineRule="exact"/>
        <w:ind w:firstLine="480" w:firstLineChars="200"/>
        <w:rPr>
          <w:rFonts w:ascii="宋体" w:hAnsi="宋体" w:cs="宋体"/>
          <w:sz w:val="24"/>
        </w:rPr>
      </w:pPr>
      <w:r>
        <w:rPr>
          <w:rFonts w:hint="eastAsia" w:ascii="宋体" w:hAnsi="宋体" w:cs="宋体"/>
          <w:sz w:val="24"/>
        </w:rPr>
        <w:t>被授权代表联系电话：</w:t>
      </w:r>
    </w:p>
    <w:p>
      <w:pPr>
        <w:adjustRightInd w:val="0"/>
        <w:snapToGrid w:val="0"/>
        <w:spacing w:before="78" w:after="78" w:line="460" w:lineRule="exact"/>
        <w:ind w:firstLine="480" w:firstLineChars="200"/>
        <w:rPr>
          <w:rFonts w:ascii="宋体" w:hAnsi="宋体" w:cs="宋体"/>
          <w:sz w:val="24"/>
        </w:rPr>
      </w:pPr>
    </w:p>
    <w:p>
      <w:pPr>
        <w:adjustRightInd w:val="0"/>
        <w:snapToGrid w:val="0"/>
        <w:spacing w:before="78" w:after="78" w:line="460" w:lineRule="exact"/>
        <w:ind w:firstLine="480" w:firstLineChars="200"/>
        <w:rPr>
          <w:rFonts w:ascii="宋体" w:hAnsi="宋体" w:cs="宋体"/>
          <w:sz w:val="24"/>
        </w:rPr>
      </w:pPr>
      <w:r>
        <w:rPr>
          <w:rFonts w:hint="eastAsia" w:ascii="宋体" w:hAnsi="宋体" w:cs="宋体"/>
          <w:sz w:val="24"/>
        </w:rPr>
        <w:t>授权有效期：</w:t>
      </w:r>
      <w:r>
        <w:rPr>
          <w:rFonts w:hint="eastAsia" w:ascii="宋体" w:hAnsi="宋体" w:cs="宋体"/>
          <w:sz w:val="24"/>
          <w:u w:val="single"/>
        </w:rPr>
        <w:t xml:space="preserve">     年   月   日至     年   月   日止（不少于投标有效期）</w:t>
      </w:r>
    </w:p>
    <w:p>
      <w:pPr>
        <w:adjustRightInd w:val="0"/>
        <w:snapToGrid w:val="0"/>
        <w:spacing w:before="78" w:after="78" w:line="460" w:lineRule="exact"/>
        <w:ind w:firstLine="480" w:firstLineChars="200"/>
        <w:rPr>
          <w:rFonts w:ascii="宋体" w:hAnsi="宋体" w:cs="宋体"/>
          <w:sz w:val="24"/>
        </w:rPr>
      </w:pPr>
    </w:p>
    <w:p>
      <w:pPr>
        <w:adjustRightInd w:val="0"/>
        <w:snapToGrid w:val="0"/>
        <w:spacing w:before="78" w:after="78" w:line="460" w:lineRule="exact"/>
        <w:ind w:firstLine="480" w:firstLineChars="200"/>
        <w:rPr>
          <w:rFonts w:ascii="宋体" w:hAnsi="宋体" w:cs="宋体"/>
          <w:sz w:val="24"/>
          <w:u w:val="single"/>
        </w:rPr>
      </w:pPr>
      <w:r>
        <w:rPr>
          <w:rFonts w:hint="eastAsia" w:ascii="宋体" w:hAnsi="宋体" w:cs="宋体"/>
          <w:sz w:val="24"/>
        </w:rPr>
        <w:t>法定代表人（负责人）（签字或盖章）：</w:t>
      </w:r>
    </w:p>
    <w:p>
      <w:pPr>
        <w:adjustRightInd w:val="0"/>
        <w:snapToGrid w:val="0"/>
        <w:spacing w:before="78" w:after="78" w:line="460" w:lineRule="exact"/>
        <w:ind w:firstLine="480" w:firstLineChars="200"/>
        <w:rPr>
          <w:rFonts w:ascii="宋体" w:hAnsi="宋体" w:cs="宋体"/>
          <w:sz w:val="24"/>
        </w:rPr>
      </w:pPr>
    </w:p>
    <w:p>
      <w:pPr>
        <w:adjustRightInd w:val="0"/>
        <w:snapToGrid w:val="0"/>
        <w:spacing w:before="78" w:after="78" w:line="460" w:lineRule="exact"/>
        <w:ind w:firstLine="480" w:firstLineChars="200"/>
        <w:rPr>
          <w:rFonts w:ascii="宋体" w:hAnsi="宋体" w:cs="宋体"/>
          <w:sz w:val="24"/>
          <w:u w:val="single"/>
        </w:rPr>
      </w:pPr>
      <w:r>
        <w:rPr>
          <w:rFonts w:hint="eastAsia" w:ascii="宋体" w:hAnsi="宋体" w:cs="宋体"/>
          <w:sz w:val="24"/>
        </w:rPr>
        <w:t>被授权代表(签字或盖章)：</w:t>
      </w:r>
    </w:p>
    <w:p>
      <w:pPr>
        <w:spacing w:before="78" w:after="78" w:line="460" w:lineRule="exact"/>
        <w:rPr>
          <w:rFonts w:ascii="宋体" w:hAnsi="宋体" w:cs="宋体"/>
          <w:kern w:val="0"/>
          <w:sz w:val="24"/>
        </w:rPr>
      </w:pPr>
    </w:p>
    <w:p>
      <w:pPr>
        <w:spacing w:before="78" w:after="78" w:line="460" w:lineRule="exact"/>
        <w:ind w:firstLine="480" w:firstLineChars="200"/>
        <w:rPr>
          <w:rFonts w:ascii="宋体" w:hAnsi="宋体" w:cs="宋体"/>
          <w:kern w:val="0"/>
          <w:sz w:val="24"/>
        </w:rPr>
      </w:pPr>
      <w:r>
        <w:rPr>
          <w:rFonts w:hint="eastAsia" w:ascii="宋体" w:hAnsi="宋体" w:cs="宋体"/>
          <w:kern w:val="0"/>
          <w:sz w:val="24"/>
        </w:rPr>
        <w:t>投标单位（盖章）：</w:t>
      </w:r>
    </w:p>
    <w:p>
      <w:pPr>
        <w:spacing w:before="78" w:after="78" w:line="460" w:lineRule="exact"/>
        <w:ind w:firstLine="1302" w:firstLineChars="600"/>
        <w:rPr>
          <w:rFonts w:ascii="宋体" w:hAnsi="宋体" w:cs="宋体"/>
          <w:b/>
          <w:w w:val="90"/>
          <w:sz w:val="24"/>
        </w:rPr>
      </w:pPr>
    </w:p>
    <w:p>
      <w:pPr>
        <w:adjustRightInd w:val="0"/>
        <w:snapToGrid w:val="0"/>
        <w:spacing w:before="78" w:after="78" w:line="460" w:lineRule="exact"/>
        <w:ind w:firstLine="480" w:firstLineChars="200"/>
        <w:rPr>
          <w:rFonts w:ascii="宋体" w:hAnsi="宋体" w:cs="宋体"/>
          <w:sz w:val="24"/>
        </w:rPr>
      </w:pPr>
      <w:r>
        <w:rPr>
          <w:rFonts w:hint="eastAsia" w:ascii="宋体" w:hAnsi="宋体" w:cs="宋体"/>
          <w:sz w:val="24"/>
        </w:rPr>
        <w:t>日     期：     年   月   日</w:t>
      </w:r>
    </w:p>
    <w:p>
      <w:pPr>
        <w:adjustRightInd w:val="0"/>
        <w:snapToGrid w:val="0"/>
        <w:spacing w:before="78" w:after="78" w:line="460" w:lineRule="exact"/>
        <w:ind w:firstLine="480" w:firstLineChars="200"/>
        <w:rPr>
          <w:rFonts w:ascii="宋体" w:hAnsi="宋体" w:cs="宋体"/>
          <w:sz w:val="24"/>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7" w:hRule="atLeast"/>
          <w:jc w:val="center"/>
        </w:trPr>
        <w:tc>
          <w:tcPr>
            <w:tcW w:w="7740" w:type="dxa"/>
            <w:vAlign w:val="center"/>
          </w:tcPr>
          <w:p>
            <w:pPr>
              <w:adjustRightInd w:val="0"/>
              <w:snapToGrid w:val="0"/>
              <w:spacing w:before="78" w:after="78" w:line="460" w:lineRule="exact"/>
              <w:ind w:firstLine="360" w:firstLineChars="150"/>
              <w:jc w:val="center"/>
              <w:rPr>
                <w:rFonts w:ascii="宋体" w:hAnsi="宋体" w:cs="宋体"/>
                <w:b/>
              </w:rPr>
            </w:pPr>
            <w:r>
              <w:rPr>
                <w:rFonts w:hint="eastAsia" w:ascii="宋体" w:hAnsi="宋体" w:cs="宋体"/>
                <w:sz w:val="24"/>
              </w:rPr>
              <w:t>被授权人身份证复印粘贴处（正反面）</w:t>
            </w:r>
          </w:p>
        </w:tc>
      </w:tr>
    </w:tbl>
    <w:p>
      <w:pPr>
        <w:pStyle w:val="19"/>
        <w:spacing w:before="78" w:after="78"/>
        <w:rPr>
          <w:rFonts w:ascii="宋体" w:hAnsi="宋体" w:cs="宋体"/>
          <w:bCs/>
          <w:sz w:val="24"/>
        </w:rPr>
      </w:pPr>
    </w:p>
    <w:p>
      <w:pPr>
        <w:spacing w:before="78" w:after="78"/>
        <w:ind w:firstLine="480" w:firstLineChars="200"/>
        <w:rPr>
          <w:rFonts w:ascii="宋体" w:hAnsi="宋体" w:cs="宋体"/>
          <w:sz w:val="24"/>
        </w:rPr>
      </w:pPr>
    </w:p>
    <w:p>
      <w:pPr>
        <w:widowControl/>
        <w:spacing w:before="78" w:after="78"/>
        <w:jc w:val="left"/>
        <w:rPr>
          <w:rFonts w:ascii="宋体" w:hAnsi="宋体" w:cs="宋体"/>
          <w:b/>
          <w:bCs/>
          <w:sz w:val="24"/>
        </w:rPr>
      </w:pPr>
      <w:r>
        <w:rPr>
          <w:rFonts w:hint="eastAsia" w:ascii="宋体" w:hAnsi="宋体" w:cs="宋体"/>
          <w:sz w:val="24"/>
        </w:rPr>
        <w:br w:type="page"/>
      </w:r>
    </w:p>
    <w:p>
      <w:pPr>
        <w:spacing w:before="78" w:after="78" w:line="360" w:lineRule="auto"/>
        <w:ind w:firstLine="281"/>
        <w:jc w:val="center"/>
        <w:outlineLvl w:val="1"/>
        <w:rPr>
          <w:rFonts w:ascii="宋体" w:hAnsi="宋体" w:cs="宋体"/>
          <w:b/>
          <w:bCs/>
          <w:sz w:val="28"/>
          <w:szCs w:val="28"/>
        </w:rPr>
      </w:pPr>
      <w:bookmarkStart w:id="129" w:name="_Toc5245"/>
      <w:bookmarkStart w:id="130" w:name="_Toc22870"/>
      <w:bookmarkStart w:id="131" w:name="_Toc9193"/>
      <w:r>
        <w:rPr>
          <w:rFonts w:hint="eastAsia" w:ascii="宋体" w:hAnsi="宋体" w:cs="宋体"/>
          <w:b/>
          <w:bCs/>
          <w:sz w:val="28"/>
          <w:szCs w:val="28"/>
        </w:rPr>
        <w:t>四、开标一览表</w:t>
      </w:r>
      <w:bookmarkEnd w:id="129"/>
      <w:bookmarkEnd w:id="130"/>
      <w:bookmarkEnd w:id="131"/>
    </w:p>
    <w:tbl>
      <w:tblPr>
        <w:tblStyle w:val="27"/>
        <w:tblW w:w="8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8"/>
        <w:gridCol w:w="6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828" w:type="dxa"/>
            <w:vAlign w:val="center"/>
          </w:tcPr>
          <w:p>
            <w:pPr>
              <w:spacing w:before="78" w:after="78" w:line="360" w:lineRule="auto"/>
              <w:jc w:val="center"/>
              <w:rPr>
                <w:rFonts w:ascii="宋体" w:hAnsi="宋体" w:cs="宋体"/>
                <w:bCs/>
                <w:sz w:val="24"/>
              </w:rPr>
            </w:pPr>
            <w:r>
              <w:rPr>
                <w:rFonts w:hint="eastAsia" w:ascii="宋体" w:hAnsi="宋体" w:cs="宋体"/>
                <w:bCs/>
                <w:sz w:val="24"/>
              </w:rPr>
              <w:t>项目名称</w:t>
            </w:r>
          </w:p>
        </w:tc>
        <w:tc>
          <w:tcPr>
            <w:tcW w:w="6735" w:type="dxa"/>
            <w:vAlign w:val="center"/>
          </w:tcPr>
          <w:p>
            <w:pPr>
              <w:spacing w:before="78" w:after="78" w:line="360" w:lineRule="auto"/>
              <w:jc w:val="center"/>
              <w:rPr>
                <w:rFonts w:hint="eastAsia" w:ascii="宋体" w:hAnsi="宋体" w:eastAsia="宋体" w:cs="宋体"/>
                <w:bCs/>
                <w:sz w:val="24"/>
                <w:lang w:eastAsia="zh-CN"/>
              </w:rPr>
            </w:pPr>
            <w:r>
              <w:rPr>
                <w:rFonts w:hint="eastAsia" w:ascii="宋体" w:hAnsi="宋体" w:cs="宋体"/>
                <w:bCs/>
                <w:sz w:val="24"/>
                <w:lang w:eastAsia="zh-CN"/>
              </w:rPr>
              <w:t>江苏英奇热电有限公司煤炭采购项目（二次）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828" w:type="dxa"/>
            <w:vAlign w:val="center"/>
          </w:tcPr>
          <w:p>
            <w:pPr>
              <w:spacing w:before="78" w:after="78" w:line="360" w:lineRule="auto"/>
              <w:jc w:val="center"/>
              <w:rPr>
                <w:rFonts w:ascii="宋体" w:hAnsi="宋体" w:cs="宋体"/>
                <w:bCs/>
                <w:sz w:val="24"/>
              </w:rPr>
            </w:pPr>
            <w:r>
              <w:rPr>
                <w:rFonts w:hint="eastAsia" w:ascii="宋体" w:hAnsi="宋体" w:cs="宋体"/>
                <w:sz w:val="24"/>
              </w:rPr>
              <w:t>项目编号</w:t>
            </w:r>
          </w:p>
        </w:tc>
        <w:tc>
          <w:tcPr>
            <w:tcW w:w="6735" w:type="dxa"/>
            <w:vAlign w:val="center"/>
          </w:tcPr>
          <w:p>
            <w:pPr>
              <w:tabs>
                <w:tab w:val="center" w:pos="4621"/>
              </w:tabs>
              <w:spacing w:before="78" w:after="78"/>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828" w:type="dxa"/>
            <w:vAlign w:val="center"/>
          </w:tcPr>
          <w:p>
            <w:pPr>
              <w:snapToGrid w:val="0"/>
              <w:spacing w:before="78" w:after="78" w:line="440" w:lineRule="exact"/>
              <w:jc w:val="center"/>
              <w:rPr>
                <w:rFonts w:ascii="宋体" w:hAnsi="宋体" w:cs="宋体"/>
                <w:bCs/>
                <w:sz w:val="24"/>
              </w:rPr>
            </w:pPr>
            <w:r>
              <w:rPr>
                <w:rFonts w:hint="eastAsia" w:ascii="宋体" w:hAnsi="宋体" w:cs="宋体"/>
                <w:bCs/>
                <w:sz w:val="24"/>
              </w:rPr>
              <w:t>投标报价</w:t>
            </w:r>
          </w:p>
        </w:tc>
        <w:tc>
          <w:tcPr>
            <w:tcW w:w="6735" w:type="dxa"/>
            <w:vAlign w:val="center"/>
          </w:tcPr>
          <w:p>
            <w:pPr>
              <w:spacing w:before="78" w:after="78" w:line="360" w:lineRule="auto"/>
              <w:rPr>
                <w:rFonts w:ascii="宋体" w:hAnsi="宋体" w:cs="宋体"/>
                <w:bCs/>
                <w:sz w:val="24"/>
              </w:rPr>
            </w:pPr>
          </w:p>
          <w:p>
            <w:pPr>
              <w:spacing w:before="78" w:after="78" w:line="360" w:lineRule="auto"/>
              <w:rPr>
                <w:rFonts w:ascii="宋体" w:hAnsi="宋体" w:cs="宋体"/>
                <w:bCs/>
                <w:sz w:val="24"/>
              </w:rPr>
            </w:pPr>
            <w:r>
              <w:rPr>
                <w:rFonts w:hint="eastAsia" w:ascii="宋体" w:hAnsi="宋体" w:cs="宋体"/>
                <w:bCs/>
                <w:sz w:val="24"/>
              </w:rPr>
              <w:t>人民币（大写）：A+</w:t>
            </w:r>
            <w:r>
              <w:rPr>
                <w:rFonts w:hint="eastAsia" w:ascii="宋体" w:hAnsi="宋体" w:cs="宋体"/>
                <w:bCs/>
                <w:sz w:val="24"/>
                <w:u w:val="single"/>
              </w:rPr>
              <w:t>B</w:t>
            </w:r>
            <w:r>
              <w:rPr>
                <w:rFonts w:hint="eastAsia" w:ascii="宋体" w:hAnsi="宋体" w:cs="宋体"/>
                <w:bCs/>
                <w:sz w:val="24"/>
              </w:rPr>
              <w:t>/吨</w:t>
            </w:r>
          </w:p>
          <w:p>
            <w:pPr>
              <w:spacing w:before="78" w:after="78" w:line="360" w:lineRule="auto"/>
              <w:ind w:firstLine="720" w:firstLineChars="300"/>
              <w:rPr>
                <w:rFonts w:ascii="宋体" w:hAnsi="宋体" w:cs="宋体"/>
                <w:bCs/>
                <w:sz w:val="24"/>
              </w:rPr>
            </w:pPr>
            <w:r>
              <w:rPr>
                <w:rFonts w:hint="eastAsia" w:ascii="宋体" w:hAnsi="宋体" w:cs="宋体"/>
                <w:bCs/>
                <w:sz w:val="24"/>
              </w:rPr>
              <w:t>（小写）：A+</w:t>
            </w:r>
            <w:r>
              <w:rPr>
                <w:rFonts w:hint="eastAsia" w:ascii="宋体" w:hAnsi="宋体" w:cs="宋体"/>
                <w:bCs/>
                <w:sz w:val="24"/>
                <w:u w:val="single"/>
              </w:rPr>
              <w:t>B</w:t>
            </w:r>
            <w:r>
              <w:rPr>
                <w:rFonts w:hint="eastAsia" w:ascii="宋体" w:hAnsi="宋体" w:cs="宋体"/>
                <w:bCs/>
                <w:sz w:val="24"/>
              </w:rPr>
              <w:t>元/吨</w:t>
            </w:r>
          </w:p>
          <w:p>
            <w:pPr>
              <w:spacing w:before="78" w:after="78" w:line="360" w:lineRule="auto"/>
              <w:ind w:firstLine="630" w:firstLineChars="30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828" w:type="dxa"/>
            <w:vAlign w:val="center"/>
          </w:tcPr>
          <w:p>
            <w:pPr>
              <w:snapToGrid w:val="0"/>
              <w:spacing w:before="78" w:after="78" w:line="440" w:lineRule="exact"/>
              <w:jc w:val="center"/>
              <w:rPr>
                <w:rFonts w:ascii="宋体" w:hAnsi="宋体" w:cs="宋体"/>
                <w:bCs/>
                <w:sz w:val="24"/>
              </w:rPr>
            </w:pPr>
            <w:r>
              <w:rPr>
                <w:rFonts w:hint="eastAsia" w:ascii="宋体" w:hAnsi="宋体" w:cs="宋体"/>
                <w:sz w:val="24"/>
              </w:rPr>
              <w:t>合同履行期限</w:t>
            </w:r>
          </w:p>
        </w:tc>
        <w:tc>
          <w:tcPr>
            <w:tcW w:w="6735" w:type="dxa"/>
            <w:vAlign w:val="center"/>
          </w:tcPr>
          <w:p>
            <w:pPr>
              <w:snapToGrid w:val="0"/>
              <w:spacing w:before="78" w:after="78" w:line="440" w:lineRule="exact"/>
              <w:rPr>
                <w:rFonts w:ascii="宋体" w:hAnsi="宋体" w:cs="宋体"/>
                <w:bCs/>
                <w:sz w:val="24"/>
              </w:rPr>
            </w:pPr>
            <w:r>
              <w:rPr>
                <w:rFonts w:hint="eastAsia" w:ascii="宋体" w:hAnsi="宋体" w:cs="宋体"/>
                <w:bCs/>
                <w:sz w:val="24"/>
                <w:u w:val="single"/>
              </w:rPr>
              <w:t>12个月</w:t>
            </w:r>
            <w:r>
              <w:rPr>
                <w:rFonts w:hint="eastAsia" w:ascii="宋体" w:hAnsi="宋体" w:cs="宋体"/>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63" w:type="dxa"/>
            <w:gridSpan w:val="2"/>
            <w:vAlign w:val="center"/>
          </w:tcPr>
          <w:p>
            <w:pPr>
              <w:snapToGrid w:val="0"/>
              <w:spacing w:before="78" w:after="78" w:line="440" w:lineRule="exact"/>
              <w:rPr>
                <w:rFonts w:ascii="宋体" w:hAnsi="宋体" w:cs="宋体"/>
                <w:bCs/>
                <w:sz w:val="24"/>
              </w:rPr>
            </w:pPr>
            <w:r>
              <w:rPr>
                <w:rFonts w:hint="eastAsia" w:ascii="宋体" w:hAnsi="宋体" w:cs="宋体"/>
                <w:bCs/>
                <w:sz w:val="24"/>
              </w:rPr>
              <w:t>（备注：中标供应商均以第一名投标报价为结算价格，不认同则视为放弃中标。）</w:t>
            </w:r>
          </w:p>
        </w:tc>
      </w:tr>
    </w:tbl>
    <w:p>
      <w:pPr>
        <w:spacing w:before="78" w:after="78" w:line="520" w:lineRule="exact"/>
        <w:ind w:firstLine="2974" w:firstLineChars="1371"/>
        <w:rPr>
          <w:rFonts w:ascii="宋体" w:hAnsi="宋体" w:cs="宋体"/>
          <w:b/>
          <w:w w:val="90"/>
          <w:sz w:val="24"/>
        </w:rPr>
      </w:pPr>
    </w:p>
    <w:p>
      <w:pPr>
        <w:pStyle w:val="57"/>
        <w:adjustRightInd w:val="0"/>
        <w:spacing w:before="78" w:beforeLines="25" w:beforeAutospacing="0" w:after="78" w:afterLines="25" w:afterAutospacing="0" w:line="240" w:lineRule="auto"/>
        <w:ind w:firstLine="720" w:firstLineChars="300"/>
        <w:jc w:val="both"/>
        <w:rPr>
          <w:rFonts w:ascii="宋体" w:hAnsi="宋体" w:cs="宋体"/>
        </w:rPr>
      </w:pPr>
      <w:r>
        <w:rPr>
          <w:rFonts w:hint="eastAsia" w:ascii="宋体" w:hAnsi="宋体" w:cs="宋体"/>
        </w:rPr>
        <w:t>投标人（盖章）：</w:t>
      </w:r>
    </w:p>
    <w:p>
      <w:pPr>
        <w:pStyle w:val="57"/>
        <w:adjustRightInd w:val="0"/>
        <w:spacing w:before="78" w:beforeLines="25" w:beforeAutospacing="0" w:after="78" w:afterLines="25" w:afterAutospacing="0" w:line="240" w:lineRule="auto"/>
        <w:ind w:firstLine="720" w:firstLineChars="300"/>
        <w:jc w:val="both"/>
        <w:rPr>
          <w:rFonts w:ascii="宋体" w:hAnsi="宋体" w:cs="宋体"/>
        </w:rPr>
      </w:pPr>
    </w:p>
    <w:p>
      <w:pPr>
        <w:pStyle w:val="57"/>
        <w:adjustRightInd w:val="0"/>
        <w:spacing w:before="78" w:beforeLines="25" w:beforeAutospacing="0" w:after="78" w:afterLines="25" w:afterAutospacing="0" w:line="240" w:lineRule="auto"/>
        <w:ind w:firstLine="720" w:firstLineChars="300"/>
        <w:jc w:val="both"/>
        <w:rPr>
          <w:rFonts w:ascii="宋体" w:hAnsi="宋体" w:cs="宋体"/>
        </w:rPr>
      </w:pPr>
      <w:r>
        <w:rPr>
          <w:rFonts w:hint="eastAsia" w:ascii="宋体" w:hAnsi="宋体" w:cs="宋体"/>
        </w:rPr>
        <w:t>法定代表人（负责人）或其授权代表（签字或盖章）：</w:t>
      </w:r>
    </w:p>
    <w:p>
      <w:pPr>
        <w:pStyle w:val="57"/>
        <w:adjustRightInd w:val="0"/>
        <w:spacing w:before="78" w:beforeLines="25" w:beforeAutospacing="0" w:after="78" w:afterLines="25" w:afterAutospacing="0" w:line="240" w:lineRule="auto"/>
        <w:ind w:firstLine="720" w:firstLineChars="300"/>
        <w:jc w:val="both"/>
        <w:rPr>
          <w:rFonts w:ascii="宋体" w:hAnsi="宋体" w:cs="宋体"/>
        </w:rPr>
      </w:pPr>
    </w:p>
    <w:p>
      <w:pPr>
        <w:pStyle w:val="57"/>
        <w:adjustRightInd w:val="0"/>
        <w:spacing w:before="78" w:beforeLines="25" w:beforeAutospacing="0" w:after="78" w:afterLines="25" w:afterAutospacing="0" w:line="240" w:lineRule="auto"/>
        <w:ind w:firstLine="720" w:firstLineChars="300"/>
        <w:jc w:val="both"/>
        <w:rPr>
          <w:rFonts w:ascii="宋体" w:hAnsi="宋体" w:cs="宋体"/>
        </w:rPr>
      </w:pPr>
      <w:r>
        <w:rPr>
          <w:rFonts w:hint="eastAsia" w:ascii="宋体" w:hAnsi="宋体" w:cs="宋体"/>
        </w:rPr>
        <w:t>时间：        年    月    日</w:t>
      </w:r>
    </w:p>
    <w:p>
      <w:pPr>
        <w:widowControl/>
        <w:tabs>
          <w:tab w:val="left" w:pos="900"/>
        </w:tabs>
        <w:spacing w:before="78" w:after="78" w:line="440" w:lineRule="exact"/>
        <w:ind w:firstLine="1687" w:firstLineChars="700"/>
        <w:rPr>
          <w:rFonts w:ascii="宋体" w:hAnsi="宋体" w:cs="宋体"/>
          <w:b/>
          <w:sz w:val="24"/>
        </w:rPr>
      </w:pPr>
    </w:p>
    <w:p>
      <w:pPr>
        <w:widowControl/>
        <w:spacing w:before="78" w:after="78" w:line="420" w:lineRule="exact"/>
        <w:ind w:firstLine="241"/>
        <w:jc w:val="center"/>
        <w:outlineLvl w:val="1"/>
        <w:rPr>
          <w:rFonts w:ascii="宋体" w:hAnsi="宋体" w:cs="宋体"/>
          <w:b/>
          <w:bCs/>
          <w:sz w:val="28"/>
          <w:szCs w:val="28"/>
        </w:rPr>
      </w:pPr>
      <w:r>
        <w:rPr>
          <w:rFonts w:hint="eastAsia" w:ascii="宋体" w:hAnsi="宋体" w:cs="宋体"/>
          <w:b/>
          <w:sz w:val="24"/>
        </w:rPr>
        <w:br w:type="page"/>
      </w:r>
      <w:bookmarkStart w:id="132" w:name="_Toc4344"/>
      <w:bookmarkStart w:id="133" w:name="_Toc16815"/>
      <w:r>
        <w:rPr>
          <w:rFonts w:hint="eastAsia" w:ascii="宋体" w:hAnsi="宋体" w:cs="宋体"/>
          <w:b/>
          <w:bCs/>
          <w:sz w:val="28"/>
          <w:szCs w:val="28"/>
        </w:rPr>
        <w:t>五、投标分项价格表</w:t>
      </w:r>
      <w:bookmarkEnd w:id="132"/>
      <w:bookmarkEnd w:id="133"/>
    </w:p>
    <w:p>
      <w:pPr>
        <w:spacing w:before="312" w:beforeLines="100" w:after="78" w:line="480" w:lineRule="exact"/>
        <w:jc w:val="right"/>
        <w:rPr>
          <w:rFonts w:ascii="宋体" w:hAnsi="宋体" w:cs="宋体"/>
          <w:sz w:val="24"/>
        </w:rPr>
      </w:pPr>
      <w:r>
        <w:rPr>
          <w:rFonts w:hint="eastAsia" w:ascii="宋体" w:hAnsi="宋体" w:cs="宋体"/>
          <w:sz w:val="24"/>
        </w:rPr>
        <w:t>报价单位：元（人民币）</w:t>
      </w:r>
    </w:p>
    <w:tbl>
      <w:tblPr>
        <w:tblStyle w:val="27"/>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8"/>
        <w:gridCol w:w="2912"/>
        <w:gridCol w:w="990"/>
        <w:gridCol w:w="898"/>
        <w:gridCol w:w="1547"/>
        <w:gridCol w:w="1018"/>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4" w:type="pct"/>
            <w:noWrap/>
            <w:vAlign w:val="center"/>
          </w:tcPr>
          <w:p>
            <w:pPr>
              <w:widowControl/>
              <w:spacing w:before="78" w:after="78"/>
              <w:ind w:firstLine="241"/>
              <w:jc w:val="center"/>
              <w:textAlignment w:val="center"/>
              <w:rPr>
                <w:rFonts w:ascii="宋体" w:hAnsi="宋体" w:cs="宋体"/>
                <w:b/>
                <w:bCs/>
                <w:szCs w:val="21"/>
              </w:rPr>
            </w:pPr>
            <w:r>
              <w:rPr>
                <w:rFonts w:hint="eastAsia" w:ascii="宋体" w:hAnsi="宋体" w:cs="宋体"/>
                <w:b/>
                <w:bCs/>
                <w:kern w:val="0"/>
                <w:szCs w:val="21"/>
              </w:rPr>
              <w:t>序号</w:t>
            </w:r>
          </w:p>
        </w:tc>
        <w:tc>
          <w:tcPr>
            <w:tcW w:w="1479" w:type="pct"/>
            <w:vAlign w:val="center"/>
          </w:tcPr>
          <w:p>
            <w:pPr>
              <w:widowControl/>
              <w:spacing w:before="78" w:after="78"/>
              <w:ind w:firstLine="241"/>
              <w:jc w:val="center"/>
              <w:textAlignment w:val="center"/>
              <w:rPr>
                <w:rFonts w:ascii="宋体" w:hAnsi="宋体" w:cs="宋体"/>
                <w:b/>
                <w:bCs/>
                <w:szCs w:val="21"/>
              </w:rPr>
            </w:pPr>
            <w:r>
              <w:rPr>
                <w:rFonts w:hint="eastAsia" w:ascii="宋体" w:hAnsi="宋体" w:cs="宋体"/>
                <w:b/>
                <w:bCs/>
                <w:kern w:val="0"/>
                <w:szCs w:val="21"/>
              </w:rPr>
              <w:t>名称</w:t>
            </w:r>
          </w:p>
        </w:tc>
        <w:tc>
          <w:tcPr>
            <w:tcW w:w="503" w:type="pct"/>
            <w:noWrap/>
            <w:vAlign w:val="center"/>
          </w:tcPr>
          <w:p>
            <w:pPr>
              <w:widowControl/>
              <w:spacing w:before="78" w:after="78"/>
              <w:ind w:firstLine="241"/>
              <w:jc w:val="center"/>
              <w:textAlignment w:val="center"/>
              <w:rPr>
                <w:rFonts w:ascii="宋体" w:hAnsi="宋体" w:cs="宋体"/>
                <w:b/>
                <w:bCs/>
                <w:szCs w:val="21"/>
              </w:rPr>
            </w:pPr>
            <w:r>
              <w:rPr>
                <w:rFonts w:hint="eastAsia" w:ascii="宋体" w:hAnsi="宋体" w:cs="宋体"/>
                <w:b/>
                <w:bCs/>
                <w:kern w:val="0"/>
                <w:szCs w:val="21"/>
              </w:rPr>
              <w:t>单位</w:t>
            </w:r>
          </w:p>
        </w:tc>
        <w:tc>
          <w:tcPr>
            <w:tcW w:w="456" w:type="pct"/>
            <w:noWrap/>
            <w:vAlign w:val="center"/>
          </w:tcPr>
          <w:p>
            <w:pPr>
              <w:widowControl/>
              <w:spacing w:before="78" w:after="78"/>
              <w:ind w:firstLine="241"/>
              <w:jc w:val="center"/>
              <w:textAlignment w:val="center"/>
              <w:rPr>
                <w:rFonts w:ascii="宋体" w:hAnsi="宋体" w:cs="宋体"/>
                <w:b/>
                <w:bCs/>
                <w:szCs w:val="21"/>
              </w:rPr>
            </w:pPr>
            <w:r>
              <w:rPr>
                <w:rFonts w:hint="eastAsia" w:ascii="宋体" w:hAnsi="宋体" w:cs="宋体"/>
                <w:b/>
                <w:bCs/>
                <w:kern w:val="0"/>
                <w:szCs w:val="21"/>
              </w:rPr>
              <w:t>数量</w:t>
            </w:r>
          </w:p>
        </w:tc>
        <w:tc>
          <w:tcPr>
            <w:tcW w:w="786" w:type="pct"/>
            <w:noWrap/>
            <w:vAlign w:val="center"/>
          </w:tcPr>
          <w:p>
            <w:pPr>
              <w:widowControl/>
              <w:spacing w:before="78" w:after="78"/>
              <w:ind w:firstLine="241"/>
              <w:jc w:val="center"/>
              <w:textAlignment w:val="center"/>
              <w:rPr>
                <w:rFonts w:ascii="宋体" w:hAnsi="宋体" w:cs="宋体"/>
                <w:b/>
                <w:bCs/>
                <w:kern w:val="0"/>
                <w:szCs w:val="21"/>
              </w:rPr>
            </w:pPr>
            <w:r>
              <w:rPr>
                <w:rFonts w:hint="eastAsia" w:ascii="宋体" w:hAnsi="宋体" w:cs="宋体"/>
                <w:b/>
                <w:bCs/>
                <w:kern w:val="0"/>
                <w:szCs w:val="21"/>
              </w:rPr>
              <w:t>规格（型号）</w:t>
            </w:r>
          </w:p>
        </w:tc>
        <w:tc>
          <w:tcPr>
            <w:tcW w:w="517" w:type="pct"/>
            <w:noWrap/>
            <w:vAlign w:val="center"/>
          </w:tcPr>
          <w:p>
            <w:pPr>
              <w:widowControl/>
              <w:spacing w:before="78" w:after="78"/>
              <w:ind w:firstLine="241"/>
              <w:jc w:val="center"/>
              <w:textAlignment w:val="center"/>
              <w:rPr>
                <w:rFonts w:ascii="宋体" w:hAnsi="宋体" w:cs="宋体"/>
                <w:b/>
                <w:bCs/>
                <w:szCs w:val="21"/>
              </w:rPr>
            </w:pPr>
            <w:r>
              <w:rPr>
                <w:rFonts w:hint="eastAsia" w:ascii="宋体" w:hAnsi="宋体" w:cs="宋体"/>
                <w:b/>
                <w:bCs/>
                <w:kern w:val="0"/>
                <w:szCs w:val="21"/>
              </w:rPr>
              <w:t>单价</w:t>
            </w:r>
          </w:p>
        </w:tc>
        <w:tc>
          <w:tcPr>
            <w:tcW w:w="595" w:type="pct"/>
            <w:noWrap/>
            <w:vAlign w:val="center"/>
          </w:tcPr>
          <w:p>
            <w:pPr>
              <w:widowControl/>
              <w:spacing w:before="78" w:after="78"/>
              <w:ind w:firstLine="241"/>
              <w:jc w:val="center"/>
              <w:textAlignment w:val="center"/>
              <w:rPr>
                <w:rFonts w:ascii="宋体" w:hAnsi="宋体" w:cs="宋体"/>
                <w:b/>
                <w:bCs/>
                <w:szCs w:val="21"/>
              </w:rPr>
            </w:pPr>
            <w:r>
              <w:rPr>
                <w:rFonts w:hint="eastAsia" w:ascii="宋体" w:hAnsi="宋体" w:cs="宋体"/>
                <w:b/>
                <w:bCs/>
                <w:kern w:val="0"/>
                <w:szCs w:val="21"/>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64" w:type="pct"/>
            <w:noWrap/>
            <w:vAlign w:val="center"/>
          </w:tcPr>
          <w:p>
            <w:pPr>
              <w:widowControl/>
              <w:spacing w:before="78" w:after="78"/>
              <w:ind w:firstLine="241"/>
              <w:jc w:val="left"/>
              <w:textAlignment w:val="center"/>
              <w:rPr>
                <w:rFonts w:ascii="宋体" w:hAnsi="宋体" w:cs="宋体"/>
                <w:b/>
                <w:bCs/>
                <w:szCs w:val="21"/>
              </w:rPr>
            </w:pPr>
          </w:p>
        </w:tc>
        <w:tc>
          <w:tcPr>
            <w:tcW w:w="1479" w:type="pct"/>
            <w:vAlign w:val="center"/>
          </w:tcPr>
          <w:p>
            <w:pPr>
              <w:spacing w:before="78" w:after="78"/>
              <w:ind w:firstLine="240"/>
              <w:rPr>
                <w:rFonts w:ascii="宋体" w:hAnsi="宋体" w:cs="宋体"/>
                <w:szCs w:val="21"/>
              </w:rPr>
            </w:pPr>
          </w:p>
        </w:tc>
        <w:tc>
          <w:tcPr>
            <w:tcW w:w="503" w:type="pct"/>
            <w:noWrap/>
            <w:vAlign w:val="center"/>
          </w:tcPr>
          <w:p>
            <w:pPr>
              <w:spacing w:before="78" w:after="78"/>
              <w:ind w:firstLine="240"/>
              <w:jc w:val="center"/>
              <w:rPr>
                <w:rFonts w:ascii="宋体" w:hAnsi="宋体" w:cs="宋体"/>
                <w:szCs w:val="21"/>
              </w:rPr>
            </w:pPr>
          </w:p>
        </w:tc>
        <w:tc>
          <w:tcPr>
            <w:tcW w:w="456" w:type="pct"/>
            <w:noWrap/>
            <w:vAlign w:val="center"/>
          </w:tcPr>
          <w:p>
            <w:pPr>
              <w:spacing w:before="78" w:after="78"/>
              <w:ind w:firstLine="240"/>
              <w:jc w:val="center"/>
              <w:rPr>
                <w:rFonts w:ascii="宋体" w:hAnsi="宋体" w:cs="宋体"/>
                <w:szCs w:val="21"/>
              </w:rPr>
            </w:pPr>
          </w:p>
        </w:tc>
        <w:tc>
          <w:tcPr>
            <w:tcW w:w="786" w:type="pct"/>
            <w:noWrap/>
            <w:vAlign w:val="center"/>
          </w:tcPr>
          <w:p>
            <w:pPr>
              <w:spacing w:before="78" w:after="78"/>
              <w:ind w:firstLine="240"/>
              <w:jc w:val="center"/>
              <w:rPr>
                <w:rFonts w:ascii="宋体" w:hAnsi="宋体" w:cs="宋体"/>
                <w:szCs w:val="21"/>
              </w:rPr>
            </w:pPr>
          </w:p>
        </w:tc>
        <w:tc>
          <w:tcPr>
            <w:tcW w:w="517" w:type="pct"/>
            <w:noWrap/>
            <w:vAlign w:val="center"/>
          </w:tcPr>
          <w:p>
            <w:pPr>
              <w:spacing w:before="78" w:after="78"/>
              <w:ind w:firstLine="240"/>
              <w:jc w:val="center"/>
              <w:rPr>
                <w:rFonts w:ascii="宋体" w:hAnsi="宋体" w:cs="宋体"/>
                <w:szCs w:val="21"/>
              </w:rPr>
            </w:pPr>
          </w:p>
        </w:tc>
        <w:tc>
          <w:tcPr>
            <w:tcW w:w="595" w:type="pct"/>
            <w:noWrap/>
            <w:vAlign w:val="center"/>
          </w:tcPr>
          <w:p>
            <w:pPr>
              <w:spacing w:before="78" w:after="78"/>
              <w:ind w:firstLine="24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4" w:type="pct"/>
            <w:noWrap/>
            <w:vAlign w:val="center"/>
          </w:tcPr>
          <w:p>
            <w:pPr>
              <w:widowControl/>
              <w:spacing w:before="78" w:after="78"/>
              <w:ind w:firstLine="241"/>
              <w:jc w:val="left"/>
              <w:textAlignment w:val="center"/>
              <w:rPr>
                <w:rFonts w:ascii="宋体" w:hAnsi="宋体" w:cs="宋体"/>
                <w:b/>
                <w:bCs/>
                <w:szCs w:val="21"/>
              </w:rPr>
            </w:pPr>
          </w:p>
        </w:tc>
        <w:tc>
          <w:tcPr>
            <w:tcW w:w="1479" w:type="pct"/>
            <w:vAlign w:val="center"/>
          </w:tcPr>
          <w:p>
            <w:pPr>
              <w:spacing w:before="78" w:after="78"/>
              <w:ind w:firstLine="240"/>
              <w:rPr>
                <w:rFonts w:ascii="宋体" w:hAnsi="宋体" w:cs="宋体"/>
                <w:szCs w:val="21"/>
              </w:rPr>
            </w:pPr>
          </w:p>
        </w:tc>
        <w:tc>
          <w:tcPr>
            <w:tcW w:w="503" w:type="pct"/>
            <w:noWrap/>
            <w:vAlign w:val="center"/>
          </w:tcPr>
          <w:p>
            <w:pPr>
              <w:spacing w:before="78" w:after="78"/>
              <w:ind w:firstLine="240"/>
              <w:jc w:val="center"/>
              <w:rPr>
                <w:rFonts w:ascii="宋体" w:hAnsi="宋体" w:cs="宋体"/>
                <w:szCs w:val="21"/>
              </w:rPr>
            </w:pPr>
          </w:p>
        </w:tc>
        <w:tc>
          <w:tcPr>
            <w:tcW w:w="456" w:type="pct"/>
            <w:noWrap/>
            <w:vAlign w:val="center"/>
          </w:tcPr>
          <w:p>
            <w:pPr>
              <w:spacing w:before="78" w:after="78"/>
              <w:ind w:firstLine="240"/>
              <w:jc w:val="center"/>
              <w:rPr>
                <w:rFonts w:ascii="宋体" w:hAnsi="宋体" w:cs="宋体"/>
                <w:szCs w:val="21"/>
              </w:rPr>
            </w:pPr>
          </w:p>
        </w:tc>
        <w:tc>
          <w:tcPr>
            <w:tcW w:w="786" w:type="pct"/>
            <w:noWrap/>
            <w:vAlign w:val="center"/>
          </w:tcPr>
          <w:p>
            <w:pPr>
              <w:spacing w:before="78" w:after="78"/>
              <w:ind w:firstLine="240"/>
              <w:jc w:val="center"/>
              <w:rPr>
                <w:rFonts w:ascii="宋体" w:hAnsi="宋体" w:cs="宋体"/>
                <w:szCs w:val="21"/>
              </w:rPr>
            </w:pPr>
          </w:p>
        </w:tc>
        <w:tc>
          <w:tcPr>
            <w:tcW w:w="517" w:type="pct"/>
            <w:noWrap/>
            <w:vAlign w:val="center"/>
          </w:tcPr>
          <w:p>
            <w:pPr>
              <w:spacing w:before="78" w:after="78"/>
              <w:ind w:firstLine="240"/>
              <w:jc w:val="center"/>
              <w:rPr>
                <w:rFonts w:ascii="宋体" w:hAnsi="宋体" w:cs="宋体"/>
                <w:szCs w:val="21"/>
              </w:rPr>
            </w:pPr>
          </w:p>
        </w:tc>
        <w:tc>
          <w:tcPr>
            <w:tcW w:w="595" w:type="pct"/>
            <w:noWrap/>
            <w:vAlign w:val="center"/>
          </w:tcPr>
          <w:p>
            <w:pPr>
              <w:spacing w:before="78" w:after="78"/>
              <w:ind w:firstLine="24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4" w:type="pct"/>
            <w:noWrap/>
            <w:vAlign w:val="center"/>
          </w:tcPr>
          <w:p>
            <w:pPr>
              <w:widowControl/>
              <w:spacing w:before="78" w:after="78"/>
              <w:ind w:firstLine="240"/>
              <w:jc w:val="center"/>
              <w:textAlignment w:val="center"/>
              <w:rPr>
                <w:rFonts w:ascii="宋体" w:hAnsi="宋体" w:cs="宋体"/>
                <w:szCs w:val="21"/>
              </w:rPr>
            </w:pPr>
          </w:p>
        </w:tc>
        <w:tc>
          <w:tcPr>
            <w:tcW w:w="1479" w:type="pct"/>
            <w:vAlign w:val="center"/>
          </w:tcPr>
          <w:p>
            <w:pPr>
              <w:widowControl/>
              <w:spacing w:before="78" w:after="78"/>
              <w:ind w:firstLine="240"/>
              <w:jc w:val="left"/>
              <w:textAlignment w:val="center"/>
              <w:rPr>
                <w:rFonts w:ascii="宋体" w:hAnsi="宋体" w:cs="宋体"/>
                <w:szCs w:val="21"/>
              </w:rPr>
            </w:pPr>
          </w:p>
        </w:tc>
        <w:tc>
          <w:tcPr>
            <w:tcW w:w="503" w:type="pct"/>
            <w:noWrap/>
            <w:vAlign w:val="center"/>
          </w:tcPr>
          <w:p>
            <w:pPr>
              <w:widowControl/>
              <w:spacing w:before="78" w:after="78"/>
              <w:ind w:firstLine="240"/>
              <w:jc w:val="center"/>
              <w:textAlignment w:val="center"/>
              <w:rPr>
                <w:rFonts w:ascii="宋体" w:hAnsi="宋体" w:cs="宋体"/>
                <w:szCs w:val="21"/>
              </w:rPr>
            </w:pPr>
          </w:p>
        </w:tc>
        <w:tc>
          <w:tcPr>
            <w:tcW w:w="456" w:type="pct"/>
            <w:noWrap/>
            <w:vAlign w:val="center"/>
          </w:tcPr>
          <w:p>
            <w:pPr>
              <w:widowControl/>
              <w:spacing w:before="78" w:after="78"/>
              <w:ind w:firstLine="240"/>
              <w:jc w:val="center"/>
              <w:textAlignment w:val="center"/>
              <w:rPr>
                <w:rFonts w:ascii="宋体" w:hAnsi="宋体" w:cs="宋体"/>
                <w:szCs w:val="21"/>
              </w:rPr>
            </w:pPr>
          </w:p>
        </w:tc>
        <w:tc>
          <w:tcPr>
            <w:tcW w:w="786" w:type="pct"/>
            <w:noWrap/>
            <w:vAlign w:val="center"/>
          </w:tcPr>
          <w:p>
            <w:pPr>
              <w:widowControl/>
              <w:spacing w:before="78" w:after="78"/>
              <w:ind w:firstLine="240"/>
              <w:jc w:val="center"/>
              <w:textAlignment w:val="center"/>
              <w:rPr>
                <w:rFonts w:ascii="宋体" w:hAnsi="宋体" w:cs="宋体"/>
                <w:szCs w:val="21"/>
              </w:rPr>
            </w:pPr>
          </w:p>
        </w:tc>
        <w:tc>
          <w:tcPr>
            <w:tcW w:w="517" w:type="pct"/>
            <w:noWrap/>
            <w:vAlign w:val="center"/>
          </w:tcPr>
          <w:p>
            <w:pPr>
              <w:widowControl/>
              <w:spacing w:before="78" w:after="78"/>
              <w:ind w:firstLine="240"/>
              <w:jc w:val="center"/>
              <w:textAlignment w:val="center"/>
              <w:rPr>
                <w:rFonts w:ascii="宋体" w:hAnsi="宋体" w:cs="宋体"/>
                <w:szCs w:val="21"/>
              </w:rPr>
            </w:pPr>
          </w:p>
        </w:tc>
        <w:tc>
          <w:tcPr>
            <w:tcW w:w="595" w:type="pct"/>
            <w:noWrap/>
            <w:vAlign w:val="center"/>
          </w:tcPr>
          <w:p>
            <w:pPr>
              <w:widowControl/>
              <w:spacing w:before="78" w:after="78"/>
              <w:ind w:firstLine="240"/>
              <w:jc w:val="center"/>
              <w:textAlignment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4" w:type="pct"/>
            <w:noWrap/>
            <w:vAlign w:val="center"/>
          </w:tcPr>
          <w:p>
            <w:pPr>
              <w:widowControl/>
              <w:spacing w:before="78" w:after="78"/>
              <w:ind w:firstLine="240"/>
              <w:jc w:val="center"/>
              <w:textAlignment w:val="center"/>
              <w:rPr>
                <w:rFonts w:ascii="宋体" w:hAnsi="宋体" w:cs="宋体"/>
                <w:szCs w:val="21"/>
              </w:rPr>
            </w:pPr>
          </w:p>
        </w:tc>
        <w:tc>
          <w:tcPr>
            <w:tcW w:w="1479" w:type="pct"/>
            <w:vAlign w:val="center"/>
          </w:tcPr>
          <w:p>
            <w:pPr>
              <w:widowControl/>
              <w:spacing w:before="78" w:after="78"/>
              <w:ind w:firstLine="240"/>
              <w:jc w:val="left"/>
              <w:textAlignment w:val="center"/>
              <w:rPr>
                <w:rFonts w:ascii="宋体" w:hAnsi="宋体" w:cs="宋体"/>
                <w:szCs w:val="21"/>
              </w:rPr>
            </w:pPr>
          </w:p>
        </w:tc>
        <w:tc>
          <w:tcPr>
            <w:tcW w:w="503" w:type="pct"/>
            <w:noWrap/>
            <w:vAlign w:val="center"/>
          </w:tcPr>
          <w:p>
            <w:pPr>
              <w:widowControl/>
              <w:spacing w:before="78" w:after="78"/>
              <w:ind w:firstLine="240"/>
              <w:jc w:val="center"/>
              <w:textAlignment w:val="center"/>
              <w:rPr>
                <w:rFonts w:ascii="宋体" w:hAnsi="宋体" w:cs="宋体"/>
                <w:szCs w:val="21"/>
              </w:rPr>
            </w:pPr>
          </w:p>
        </w:tc>
        <w:tc>
          <w:tcPr>
            <w:tcW w:w="456" w:type="pct"/>
            <w:noWrap/>
            <w:vAlign w:val="center"/>
          </w:tcPr>
          <w:p>
            <w:pPr>
              <w:widowControl/>
              <w:spacing w:before="78" w:after="78"/>
              <w:ind w:firstLine="240"/>
              <w:jc w:val="center"/>
              <w:textAlignment w:val="center"/>
              <w:rPr>
                <w:rFonts w:ascii="宋体" w:hAnsi="宋体" w:cs="宋体"/>
                <w:szCs w:val="21"/>
              </w:rPr>
            </w:pPr>
          </w:p>
        </w:tc>
        <w:tc>
          <w:tcPr>
            <w:tcW w:w="786" w:type="pct"/>
            <w:noWrap/>
            <w:vAlign w:val="center"/>
          </w:tcPr>
          <w:p>
            <w:pPr>
              <w:widowControl/>
              <w:spacing w:before="78" w:after="78"/>
              <w:ind w:firstLine="240"/>
              <w:jc w:val="center"/>
              <w:textAlignment w:val="center"/>
              <w:rPr>
                <w:rFonts w:ascii="宋体" w:hAnsi="宋体" w:cs="宋体"/>
                <w:szCs w:val="21"/>
              </w:rPr>
            </w:pPr>
          </w:p>
        </w:tc>
        <w:tc>
          <w:tcPr>
            <w:tcW w:w="517" w:type="pct"/>
            <w:noWrap/>
            <w:vAlign w:val="center"/>
          </w:tcPr>
          <w:p>
            <w:pPr>
              <w:widowControl/>
              <w:spacing w:before="78" w:after="78"/>
              <w:ind w:firstLine="240"/>
              <w:jc w:val="center"/>
              <w:textAlignment w:val="center"/>
              <w:rPr>
                <w:rFonts w:ascii="宋体" w:hAnsi="宋体" w:cs="宋体"/>
                <w:szCs w:val="21"/>
              </w:rPr>
            </w:pPr>
          </w:p>
        </w:tc>
        <w:tc>
          <w:tcPr>
            <w:tcW w:w="595" w:type="pct"/>
            <w:noWrap/>
            <w:vAlign w:val="center"/>
          </w:tcPr>
          <w:p>
            <w:pPr>
              <w:widowControl/>
              <w:spacing w:before="78" w:after="78"/>
              <w:ind w:firstLine="240"/>
              <w:jc w:val="center"/>
              <w:textAlignment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64" w:type="pct"/>
            <w:noWrap/>
            <w:vAlign w:val="center"/>
          </w:tcPr>
          <w:p>
            <w:pPr>
              <w:widowControl/>
              <w:spacing w:before="78" w:after="78"/>
              <w:ind w:firstLine="240"/>
              <w:jc w:val="center"/>
              <w:textAlignment w:val="center"/>
              <w:rPr>
                <w:rFonts w:ascii="宋体" w:hAnsi="宋体" w:cs="宋体"/>
                <w:szCs w:val="21"/>
              </w:rPr>
            </w:pPr>
          </w:p>
        </w:tc>
        <w:tc>
          <w:tcPr>
            <w:tcW w:w="1479" w:type="pct"/>
            <w:vAlign w:val="center"/>
          </w:tcPr>
          <w:p>
            <w:pPr>
              <w:widowControl/>
              <w:spacing w:before="78" w:after="78"/>
              <w:ind w:firstLine="240"/>
              <w:jc w:val="left"/>
              <w:textAlignment w:val="center"/>
              <w:rPr>
                <w:rFonts w:ascii="宋体" w:hAnsi="宋体" w:cs="宋体"/>
                <w:szCs w:val="21"/>
              </w:rPr>
            </w:pPr>
          </w:p>
        </w:tc>
        <w:tc>
          <w:tcPr>
            <w:tcW w:w="503" w:type="pct"/>
            <w:noWrap/>
            <w:vAlign w:val="center"/>
          </w:tcPr>
          <w:p>
            <w:pPr>
              <w:widowControl/>
              <w:spacing w:before="78" w:after="78"/>
              <w:ind w:firstLine="240"/>
              <w:jc w:val="center"/>
              <w:textAlignment w:val="center"/>
              <w:rPr>
                <w:rFonts w:ascii="宋体" w:hAnsi="宋体" w:cs="宋体"/>
                <w:szCs w:val="21"/>
              </w:rPr>
            </w:pPr>
          </w:p>
        </w:tc>
        <w:tc>
          <w:tcPr>
            <w:tcW w:w="456" w:type="pct"/>
            <w:noWrap/>
            <w:vAlign w:val="center"/>
          </w:tcPr>
          <w:p>
            <w:pPr>
              <w:widowControl/>
              <w:spacing w:before="78" w:after="78"/>
              <w:ind w:firstLine="240"/>
              <w:jc w:val="center"/>
              <w:textAlignment w:val="center"/>
              <w:rPr>
                <w:rFonts w:ascii="宋体" w:hAnsi="宋体" w:cs="宋体"/>
                <w:szCs w:val="21"/>
              </w:rPr>
            </w:pPr>
          </w:p>
        </w:tc>
        <w:tc>
          <w:tcPr>
            <w:tcW w:w="786" w:type="pct"/>
            <w:noWrap/>
            <w:vAlign w:val="center"/>
          </w:tcPr>
          <w:p>
            <w:pPr>
              <w:widowControl/>
              <w:spacing w:before="78" w:after="78"/>
              <w:ind w:firstLine="240"/>
              <w:jc w:val="center"/>
              <w:textAlignment w:val="center"/>
              <w:rPr>
                <w:rFonts w:ascii="宋体" w:hAnsi="宋体" w:cs="宋体"/>
                <w:szCs w:val="21"/>
              </w:rPr>
            </w:pPr>
          </w:p>
        </w:tc>
        <w:tc>
          <w:tcPr>
            <w:tcW w:w="517" w:type="pct"/>
            <w:noWrap/>
            <w:vAlign w:val="center"/>
          </w:tcPr>
          <w:p>
            <w:pPr>
              <w:widowControl/>
              <w:spacing w:before="78" w:after="78"/>
              <w:ind w:firstLine="240"/>
              <w:jc w:val="center"/>
              <w:textAlignment w:val="center"/>
              <w:rPr>
                <w:rFonts w:ascii="宋体" w:hAnsi="宋体" w:cs="宋体"/>
                <w:szCs w:val="21"/>
              </w:rPr>
            </w:pPr>
          </w:p>
        </w:tc>
        <w:tc>
          <w:tcPr>
            <w:tcW w:w="595" w:type="pct"/>
            <w:noWrap/>
            <w:vAlign w:val="center"/>
          </w:tcPr>
          <w:p>
            <w:pPr>
              <w:widowControl/>
              <w:spacing w:before="78" w:after="78"/>
              <w:ind w:firstLine="240"/>
              <w:jc w:val="center"/>
              <w:textAlignment w:val="center"/>
              <w:rPr>
                <w:rFonts w:ascii="宋体" w:hAnsi="宋体" w:cs="宋体"/>
                <w:szCs w:val="21"/>
              </w:rPr>
            </w:pPr>
          </w:p>
        </w:tc>
      </w:tr>
    </w:tbl>
    <w:p>
      <w:pPr>
        <w:spacing w:before="78" w:after="78" w:line="360" w:lineRule="exact"/>
        <w:ind w:firstLine="480" w:firstLineChars="200"/>
        <w:rPr>
          <w:rFonts w:ascii="宋体" w:hAnsi="宋体" w:cs="宋体"/>
          <w:sz w:val="24"/>
        </w:rPr>
      </w:pPr>
    </w:p>
    <w:p>
      <w:pPr>
        <w:pStyle w:val="57"/>
        <w:adjustRightInd w:val="0"/>
        <w:spacing w:before="78" w:beforeLines="25" w:beforeAutospacing="0" w:after="78" w:afterLines="25" w:afterAutospacing="0" w:line="240" w:lineRule="auto"/>
        <w:ind w:firstLine="2880" w:firstLineChars="1200"/>
        <w:rPr>
          <w:rFonts w:ascii="宋体" w:hAnsi="宋体" w:cs="宋体"/>
        </w:rPr>
      </w:pPr>
      <w:r>
        <w:rPr>
          <w:rFonts w:hint="eastAsia" w:ascii="宋体" w:hAnsi="宋体" w:cs="宋体"/>
        </w:rPr>
        <w:t>投标人（盖章）：</w:t>
      </w:r>
    </w:p>
    <w:p>
      <w:pPr>
        <w:pStyle w:val="57"/>
        <w:adjustRightInd w:val="0"/>
        <w:spacing w:before="78" w:beforeLines="25" w:beforeAutospacing="0" w:after="78" w:afterLines="25" w:afterAutospacing="0" w:line="240" w:lineRule="auto"/>
        <w:ind w:firstLine="720" w:firstLineChars="300"/>
        <w:rPr>
          <w:rFonts w:ascii="宋体" w:hAnsi="宋体" w:cs="宋体"/>
        </w:rPr>
      </w:pPr>
    </w:p>
    <w:p>
      <w:pPr>
        <w:pStyle w:val="57"/>
        <w:adjustRightInd w:val="0"/>
        <w:spacing w:before="78" w:beforeLines="25" w:beforeAutospacing="0" w:after="78" w:afterLines="25" w:afterAutospacing="0" w:line="240" w:lineRule="auto"/>
        <w:ind w:firstLine="2880" w:firstLineChars="1200"/>
        <w:rPr>
          <w:rFonts w:ascii="宋体" w:hAnsi="宋体" w:cs="宋体"/>
        </w:rPr>
      </w:pPr>
      <w:r>
        <w:rPr>
          <w:rFonts w:hint="eastAsia" w:ascii="宋体" w:hAnsi="宋体" w:cs="宋体"/>
        </w:rPr>
        <w:t>法定代表人（负责人）或其授权代表（签字或盖章）：</w:t>
      </w:r>
    </w:p>
    <w:p>
      <w:pPr>
        <w:pStyle w:val="57"/>
        <w:adjustRightInd w:val="0"/>
        <w:spacing w:before="78" w:beforeLines="25" w:beforeAutospacing="0" w:after="78" w:afterLines="25" w:afterAutospacing="0" w:line="240" w:lineRule="auto"/>
        <w:ind w:firstLine="720" w:firstLineChars="300"/>
        <w:rPr>
          <w:rFonts w:ascii="宋体" w:hAnsi="宋体" w:cs="宋体"/>
        </w:rPr>
      </w:pPr>
    </w:p>
    <w:p>
      <w:pPr>
        <w:pStyle w:val="57"/>
        <w:adjustRightInd w:val="0"/>
        <w:spacing w:before="78" w:beforeLines="25" w:beforeAutospacing="0" w:after="78" w:afterLines="25" w:afterAutospacing="0" w:line="240" w:lineRule="auto"/>
        <w:ind w:firstLine="2880" w:firstLineChars="1200"/>
        <w:rPr>
          <w:rFonts w:ascii="宋体" w:hAnsi="宋体" w:cs="宋体"/>
        </w:rPr>
      </w:pPr>
      <w:r>
        <w:rPr>
          <w:rFonts w:hint="eastAsia" w:ascii="宋体" w:hAnsi="宋体" w:cs="宋体"/>
        </w:rPr>
        <w:t>时间：        年    月    日</w:t>
      </w:r>
    </w:p>
    <w:p>
      <w:pPr>
        <w:spacing w:before="312" w:beforeLines="100" w:after="312" w:afterLines="100" w:line="480" w:lineRule="exact"/>
        <w:ind w:firstLine="281"/>
        <w:rPr>
          <w:rFonts w:ascii="宋体" w:hAnsi="宋体" w:cs="宋体"/>
          <w:b/>
          <w:sz w:val="28"/>
          <w:szCs w:val="28"/>
        </w:rPr>
      </w:pPr>
    </w:p>
    <w:p>
      <w:pPr>
        <w:pStyle w:val="26"/>
      </w:pPr>
    </w:p>
    <w:p>
      <w:pPr>
        <w:pStyle w:val="26"/>
      </w:pPr>
    </w:p>
    <w:p>
      <w:pPr>
        <w:pStyle w:val="26"/>
      </w:pPr>
    </w:p>
    <w:p>
      <w:pPr>
        <w:pStyle w:val="26"/>
      </w:pPr>
    </w:p>
    <w:p>
      <w:pPr>
        <w:pStyle w:val="26"/>
      </w:pPr>
    </w:p>
    <w:p>
      <w:pPr>
        <w:pStyle w:val="26"/>
      </w:pPr>
    </w:p>
    <w:p>
      <w:pPr>
        <w:pStyle w:val="26"/>
      </w:pPr>
    </w:p>
    <w:p>
      <w:pPr>
        <w:pStyle w:val="26"/>
      </w:pPr>
    </w:p>
    <w:p>
      <w:pPr>
        <w:pStyle w:val="26"/>
      </w:pPr>
    </w:p>
    <w:p>
      <w:pPr>
        <w:pStyle w:val="26"/>
      </w:pPr>
    </w:p>
    <w:p>
      <w:pPr>
        <w:pStyle w:val="26"/>
      </w:pPr>
    </w:p>
    <w:p>
      <w:pPr>
        <w:pStyle w:val="26"/>
      </w:pPr>
    </w:p>
    <w:p>
      <w:pPr>
        <w:pStyle w:val="26"/>
      </w:pPr>
    </w:p>
    <w:p>
      <w:pPr>
        <w:spacing w:before="78" w:after="78"/>
        <w:ind w:firstLine="281"/>
        <w:jc w:val="center"/>
        <w:outlineLvl w:val="1"/>
        <w:rPr>
          <w:rFonts w:ascii="宋体" w:hAnsi="宋体" w:cs="宋体"/>
          <w:b/>
          <w:bCs/>
          <w:sz w:val="28"/>
          <w:szCs w:val="28"/>
        </w:rPr>
      </w:pPr>
      <w:bookmarkStart w:id="134" w:name="_Toc29953"/>
      <w:r>
        <w:rPr>
          <w:rFonts w:hint="eastAsia" w:ascii="宋体" w:hAnsi="宋体" w:cs="宋体"/>
          <w:b/>
          <w:bCs/>
          <w:sz w:val="28"/>
          <w:szCs w:val="28"/>
        </w:rPr>
        <w:t>六、技术条款偏离表</w:t>
      </w:r>
      <w:bookmarkEnd w:id="134"/>
    </w:p>
    <w:p>
      <w:pPr>
        <w:pStyle w:val="63"/>
        <w:jc w:val="center"/>
        <w:rPr>
          <w:rFonts w:ascii="宋体" w:hAnsi="宋体" w:cs="宋体"/>
        </w:rPr>
      </w:pPr>
    </w:p>
    <w:p>
      <w:pPr>
        <w:pStyle w:val="7"/>
        <w:spacing w:before="78" w:after="78"/>
        <w:jc w:val="both"/>
        <w:rPr>
          <w:rFonts w:ascii="宋体" w:hAnsi="宋体" w:eastAsia="宋体" w:cs="宋体"/>
          <w:kern w:val="0"/>
          <w:sz w:val="24"/>
          <w:szCs w:val="24"/>
        </w:rPr>
      </w:pPr>
      <w:r>
        <w:rPr>
          <w:rFonts w:hint="eastAsia" w:ascii="宋体" w:hAnsi="宋体" w:eastAsia="宋体" w:cs="宋体"/>
          <w:sz w:val="24"/>
          <w:szCs w:val="24"/>
        </w:rPr>
        <w:t>一、</w:t>
      </w:r>
      <w:r>
        <w:rPr>
          <w:rFonts w:hint="eastAsia" w:ascii="宋体" w:hAnsi="宋体" w:eastAsia="宋体" w:cs="宋体"/>
          <w:kern w:val="0"/>
          <w:sz w:val="24"/>
          <w:szCs w:val="24"/>
        </w:rPr>
        <w:t>所投产品对照“招标文件第三章采购项目需求”</w:t>
      </w:r>
      <w:r>
        <w:rPr>
          <w:rFonts w:hint="eastAsia" w:ascii="宋体" w:hAnsi="宋体" w:eastAsia="宋体" w:cs="宋体"/>
          <w:bCs/>
          <w:sz w:val="24"/>
          <w:szCs w:val="24"/>
        </w:rPr>
        <w:t>内容</w:t>
      </w:r>
      <w:r>
        <w:rPr>
          <w:rFonts w:hint="eastAsia" w:ascii="宋体" w:hAnsi="宋体" w:eastAsia="宋体" w:cs="宋体"/>
          <w:kern w:val="0"/>
          <w:sz w:val="24"/>
          <w:szCs w:val="24"/>
        </w:rPr>
        <w:t>：</w:t>
      </w:r>
    </w:p>
    <w:p>
      <w:pPr>
        <w:pStyle w:val="7"/>
        <w:spacing w:before="78" w:after="78"/>
        <w:ind w:firstLine="480" w:firstLineChars="200"/>
        <w:rPr>
          <w:rFonts w:ascii="宋体" w:hAnsi="宋体" w:eastAsia="宋体" w:cs="宋体"/>
          <w:sz w:val="24"/>
          <w:szCs w:val="24"/>
        </w:rPr>
      </w:pPr>
      <w:r>
        <w:rPr>
          <w:rFonts w:hint="eastAsia" w:ascii="宋体" w:hAnsi="宋体" w:eastAsia="宋体" w:cs="宋体"/>
          <w:kern w:val="0"/>
          <w:sz w:val="24"/>
          <w:szCs w:val="24"/>
        </w:rPr>
        <w:t>正偏离条款逐项说明如下：</w:t>
      </w:r>
    </w:p>
    <w:tbl>
      <w:tblPr>
        <w:tblStyle w:val="2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3"/>
        <w:gridCol w:w="4035"/>
        <w:gridCol w:w="4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pct"/>
            <w:noWrap/>
          </w:tcPr>
          <w:p>
            <w:pPr>
              <w:pStyle w:val="51"/>
              <w:jc w:val="center"/>
              <w:rPr>
                <w:rFonts w:ascii="宋体" w:cs="宋体"/>
                <w:kern w:val="0"/>
                <w:sz w:val="24"/>
                <w:szCs w:val="24"/>
              </w:rPr>
            </w:pPr>
            <w:r>
              <w:rPr>
                <w:rFonts w:hint="eastAsia" w:ascii="宋体" w:cs="宋体"/>
                <w:kern w:val="0"/>
                <w:sz w:val="24"/>
                <w:szCs w:val="24"/>
              </w:rPr>
              <w:t>序号</w:t>
            </w:r>
          </w:p>
        </w:tc>
        <w:tc>
          <w:tcPr>
            <w:tcW w:w="2097" w:type="pct"/>
            <w:noWrap/>
          </w:tcPr>
          <w:p>
            <w:pPr>
              <w:pStyle w:val="51"/>
              <w:jc w:val="center"/>
              <w:rPr>
                <w:rFonts w:ascii="宋体" w:cs="宋体"/>
                <w:kern w:val="0"/>
                <w:sz w:val="24"/>
                <w:szCs w:val="24"/>
              </w:rPr>
            </w:pPr>
            <w:r>
              <w:rPr>
                <w:rFonts w:hint="eastAsia" w:ascii="宋体" w:cs="宋体"/>
                <w:kern w:val="0"/>
                <w:sz w:val="24"/>
                <w:szCs w:val="24"/>
              </w:rPr>
              <w:t>招标文件中对应条款</w:t>
            </w:r>
          </w:p>
        </w:tc>
        <w:tc>
          <w:tcPr>
            <w:tcW w:w="2309" w:type="pct"/>
            <w:noWrap/>
          </w:tcPr>
          <w:p>
            <w:pPr>
              <w:pStyle w:val="51"/>
              <w:jc w:val="center"/>
              <w:rPr>
                <w:rFonts w:ascii="宋体" w:cs="宋体"/>
                <w:kern w:val="0"/>
                <w:sz w:val="24"/>
                <w:szCs w:val="24"/>
              </w:rPr>
            </w:pPr>
            <w:r>
              <w:rPr>
                <w:rFonts w:hint="eastAsia" w:ascii="宋体" w:cs="宋体"/>
                <w:kern w:val="0"/>
                <w:sz w:val="24"/>
                <w:szCs w:val="24"/>
              </w:rPr>
              <w:t>正偏离条款说明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pct"/>
            <w:noWrap/>
          </w:tcPr>
          <w:p>
            <w:pPr>
              <w:pStyle w:val="51"/>
              <w:rPr>
                <w:rFonts w:ascii="宋体" w:cs="宋体"/>
                <w:sz w:val="24"/>
                <w:szCs w:val="24"/>
              </w:rPr>
            </w:pPr>
          </w:p>
        </w:tc>
        <w:tc>
          <w:tcPr>
            <w:tcW w:w="2097" w:type="pct"/>
            <w:noWrap/>
          </w:tcPr>
          <w:p>
            <w:pPr>
              <w:pStyle w:val="51"/>
              <w:rPr>
                <w:rFonts w:ascii="宋体" w:cs="宋体"/>
                <w:sz w:val="24"/>
                <w:szCs w:val="24"/>
              </w:rPr>
            </w:pPr>
          </w:p>
        </w:tc>
        <w:tc>
          <w:tcPr>
            <w:tcW w:w="2309" w:type="pct"/>
            <w:noWrap/>
          </w:tcPr>
          <w:p>
            <w:pPr>
              <w:pStyle w:val="51"/>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pct"/>
            <w:noWrap/>
          </w:tcPr>
          <w:p>
            <w:pPr>
              <w:pStyle w:val="51"/>
              <w:rPr>
                <w:rFonts w:ascii="宋体" w:cs="宋体"/>
                <w:sz w:val="24"/>
                <w:szCs w:val="24"/>
              </w:rPr>
            </w:pPr>
          </w:p>
        </w:tc>
        <w:tc>
          <w:tcPr>
            <w:tcW w:w="2097" w:type="pct"/>
            <w:noWrap/>
          </w:tcPr>
          <w:p>
            <w:pPr>
              <w:pStyle w:val="51"/>
              <w:rPr>
                <w:rFonts w:ascii="宋体" w:cs="宋体"/>
                <w:sz w:val="24"/>
                <w:szCs w:val="24"/>
              </w:rPr>
            </w:pPr>
          </w:p>
        </w:tc>
        <w:tc>
          <w:tcPr>
            <w:tcW w:w="2309" w:type="pct"/>
            <w:noWrap/>
          </w:tcPr>
          <w:p>
            <w:pPr>
              <w:pStyle w:val="51"/>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pct"/>
            <w:noWrap/>
          </w:tcPr>
          <w:p>
            <w:pPr>
              <w:pStyle w:val="51"/>
              <w:rPr>
                <w:rFonts w:ascii="宋体" w:cs="宋体"/>
                <w:sz w:val="24"/>
                <w:szCs w:val="24"/>
              </w:rPr>
            </w:pPr>
          </w:p>
        </w:tc>
        <w:tc>
          <w:tcPr>
            <w:tcW w:w="2097" w:type="pct"/>
            <w:noWrap/>
          </w:tcPr>
          <w:p>
            <w:pPr>
              <w:pStyle w:val="51"/>
              <w:rPr>
                <w:rFonts w:ascii="宋体" w:cs="宋体"/>
                <w:sz w:val="24"/>
                <w:szCs w:val="24"/>
              </w:rPr>
            </w:pPr>
          </w:p>
        </w:tc>
        <w:tc>
          <w:tcPr>
            <w:tcW w:w="2309" w:type="pct"/>
            <w:noWrap/>
          </w:tcPr>
          <w:p>
            <w:pPr>
              <w:pStyle w:val="51"/>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pct"/>
            <w:noWrap/>
          </w:tcPr>
          <w:p>
            <w:pPr>
              <w:pStyle w:val="51"/>
              <w:rPr>
                <w:rFonts w:ascii="宋体" w:cs="宋体"/>
                <w:sz w:val="24"/>
                <w:szCs w:val="24"/>
              </w:rPr>
            </w:pPr>
          </w:p>
        </w:tc>
        <w:tc>
          <w:tcPr>
            <w:tcW w:w="2097" w:type="pct"/>
            <w:noWrap/>
          </w:tcPr>
          <w:p>
            <w:pPr>
              <w:pStyle w:val="51"/>
              <w:rPr>
                <w:rFonts w:ascii="宋体" w:cs="宋体"/>
                <w:sz w:val="24"/>
                <w:szCs w:val="24"/>
              </w:rPr>
            </w:pPr>
            <w:r>
              <w:rPr>
                <w:rFonts w:hint="eastAsia" w:ascii="宋体" w:cs="宋体"/>
                <w:sz w:val="24"/>
                <w:szCs w:val="24"/>
              </w:rPr>
              <w:t>......</w:t>
            </w:r>
          </w:p>
        </w:tc>
        <w:tc>
          <w:tcPr>
            <w:tcW w:w="2309" w:type="pct"/>
            <w:noWrap/>
          </w:tcPr>
          <w:p>
            <w:pPr>
              <w:pStyle w:val="51"/>
              <w:rPr>
                <w:rFonts w:ascii="宋体" w:cs="宋体"/>
                <w:sz w:val="24"/>
                <w:szCs w:val="24"/>
              </w:rPr>
            </w:pPr>
          </w:p>
        </w:tc>
      </w:tr>
    </w:tbl>
    <w:p>
      <w:pPr>
        <w:pStyle w:val="7"/>
        <w:spacing w:before="78" w:after="78"/>
        <w:ind w:firstLine="480" w:firstLineChars="200"/>
        <w:rPr>
          <w:rFonts w:ascii="宋体" w:hAnsi="宋体" w:eastAsia="宋体" w:cs="宋体"/>
          <w:sz w:val="24"/>
          <w:szCs w:val="24"/>
        </w:rPr>
      </w:pPr>
      <w:r>
        <w:rPr>
          <w:rFonts w:hint="eastAsia" w:ascii="宋体" w:hAnsi="宋体" w:eastAsia="宋体" w:cs="宋体"/>
          <w:kern w:val="0"/>
          <w:sz w:val="24"/>
          <w:szCs w:val="24"/>
        </w:rPr>
        <w:t>负偏离条款逐项说明如下：</w:t>
      </w:r>
    </w:p>
    <w:tbl>
      <w:tblPr>
        <w:tblStyle w:val="2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3"/>
        <w:gridCol w:w="4035"/>
        <w:gridCol w:w="4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pct"/>
            <w:noWrap/>
          </w:tcPr>
          <w:p>
            <w:pPr>
              <w:pStyle w:val="51"/>
              <w:jc w:val="center"/>
              <w:rPr>
                <w:rFonts w:ascii="宋体" w:cs="宋体"/>
                <w:kern w:val="0"/>
                <w:sz w:val="24"/>
                <w:szCs w:val="24"/>
              </w:rPr>
            </w:pPr>
            <w:r>
              <w:rPr>
                <w:rFonts w:hint="eastAsia" w:ascii="宋体" w:cs="宋体"/>
                <w:kern w:val="0"/>
                <w:sz w:val="24"/>
                <w:szCs w:val="24"/>
              </w:rPr>
              <w:t>序号</w:t>
            </w:r>
          </w:p>
        </w:tc>
        <w:tc>
          <w:tcPr>
            <w:tcW w:w="2097" w:type="pct"/>
            <w:noWrap/>
          </w:tcPr>
          <w:p>
            <w:pPr>
              <w:pStyle w:val="51"/>
              <w:jc w:val="center"/>
              <w:rPr>
                <w:rFonts w:ascii="宋体" w:cs="宋体"/>
                <w:kern w:val="0"/>
                <w:sz w:val="24"/>
                <w:szCs w:val="24"/>
              </w:rPr>
            </w:pPr>
            <w:r>
              <w:rPr>
                <w:rFonts w:hint="eastAsia" w:ascii="宋体" w:cs="宋体"/>
                <w:kern w:val="0"/>
                <w:sz w:val="24"/>
                <w:szCs w:val="24"/>
              </w:rPr>
              <w:t>招标文件中对应条款</w:t>
            </w:r>
          </w:p>
        </w:tc>
        <w:tc>
          <w:tcPr>
            <w:tcW w:w="2309" w:type="pct"/>
            <w:noWrap/>
          </w:tcPr>
          <w:p>
            <w:pPr>
              <w:pStyle w:val="51"/>
              <w:jc w:val="center"/>
              <w:rPr>
                <w:rFonts w:ascii="宋体" w:cs="宋体"/>
                <w:kern w:val="0"/>
                <w:sz w:val="24"/>
                <w:szCs w:val="24"/>
              </w:rPr>
            </w:pPr>
            <w:r>
              <w:rPr>
                <w:rFonts w:hint="eastAsia" w:ascii="宋体" w:cs="宋体"/>
                <w:kern w:val="0"/>
                <w:sz w:val="24"/>
                <w:szCs w:val="24"/>
              </w:rPr>
              <w:t>负偏离条款说明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pct"/>
            <w:noWrap/>
          </w:tcPr>
          <w:p>
            <w:pPr>
              <w:pStyle w:val="51"/>
              <w:rPr>
                <w:rFonts w:ascii="宋体" w:cs="宋体"/>
                <w:sz w:val="24"/>
                <w:szCs w:val="24"/>
              </w:rPr>
            </w:pPr>
          </w:p>
        </w:tc>
        <w:tc>
          <w:tcPr>
            <w:tcW w:w="2097" w:type="pct"/>
            <w:noWrap/>
          </w:tcPr>
          <w:p>
            <w:pPr>
              <w:pStyle w:val="51"/>
              <w:rPr>
                <w:rFonts w:ascii="宋体" w:cs="宋体"/>
                <w:sz w:val="24"/>
                <w:szCs w:val="24"/>
              </w:rPr>
            </w:pPr>
          </w:p>
        </w:tc>
        <w:tc>
          <w:tcPr>
            <w:tcW w:w="2309" w:type="pct"/>
            <w:noWrap/>
          </w:tcPr>
          <w:p>
            <w:pPr>
              <w:pStyle w:val="51"/>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pct"/>
            <w:noWrap/>
          </w:tcPr>
          <w:p>
            <w:pPr>
              <w:pStyle w:val="51"/>
              <w:rPr>
                <w:rFonts w:ascii="宋体" w:cs="宋体"/>
                <w:sz w:val="24"/>
                <w:szCs w:val="24"/>
              </w:rPr>
            </w:pPr>
          </w:p>
        </w:tc>
        <w:tc>
          <w:tcPr>
            <w:tcW w:w="2097" w:type="pct"/>
            <w:noWrap/>
          </w:tcPr>
          <w:p>
            <w:pPr>
              <w:pStyle w:val="51"/>
              <w:rPr>
                <w:rFonts w:ascii="宋体" w:cs="宋体"/>
                <w:sz w:val="24"/>
                <w:szCs w:val="24"/>
              </w:rPr>
            </w:pPr>
          </w:p>
        </w:tc>
        <w:tc>
          <w:tcPr>
            <w:tcW w:w="2309" w:type="pct"/>
            <w:noWrap/>
          </w:tcPr>
          <w:p>
            <w:pPr>
              <w:pStyle w:val="51"/>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pct"/>
            <w:noWrap/>
          </w:tcPr>
          <w:p>
            <w:pPr>
              <w:pStyle w:val="51"/>
              <w:rPr>
                <w:rFonts w:ascii="宋体" w:cs="宋体"/>
                <w:sz w:val="24"/>
                <w:szCs w:val="24"/>
              </w:rPr>
            </w:pPr>
          </w:p>
        </w:tc>
        <w:tc>
          <w:tcPr>
            <w:tcW w:w="2097" w:type="pct"/>
            <w:noWrap/>
          </w:tcPr>
          <w:p>
            <w:pPr>
              <w:pStyle w:val="51"/>
              <w:rPr>
                <w:rFonts w:ascii="宋体" w:cs="宋体"/>
                <w:sz w:val="24"/>
                <w:szCs w:val="24"/>
              </w:rPr>
            </w:pPr>
          </w:p>
        </w:tc>
        <w:tc>
          <w:tcPr>
            <w:tcW w:w="2309" w:type="pct"/>
            <w:noWrap/>
          </w:tcPr>
          <w:p>
            <w:pPr>
              <w:pStyle w:val="51"/>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pct"/>
            <w:noWrap/>
          </w:tcPr>
          <w:p>
            <w:pPr>
              <w:pStyle w:val="51"/>
              <w:rPr>
                <w:rFonts w:ascii="宋体" w:cs="宋体"/>
                <w:sz w:val="24"/>
                <w:szCs w:val="24"/>
              </w:rPr>
            </w:pPr>
          </w:p>
        </w:tc>
        <w:tc>
          <w:tcPr>
            <w:tcW w:w="2097" w:type="pct"/>
            <w:noWrap/>
          </w:tcPr>
          <w:p>
            <w:pPr>
              <w:pStyle w:val="51"/>
              <w:rPr>
                <w:rFonts w:ascii="宋体" w:cs="宋体"/>
                <w:sz w:val="24"/>
                <w:szCs w:val="24"/>
              </w:rPr>
            </w:pPr>
            <w:r>
              <w:rPr>
                <w:rFonts w:hint="eastAsia" w:ascii="宋体" w:cs="宋体"/>
                <w:sz w:val="24"/>
                <w:szCs w:val="24"/>
              </w:rPr>
              <w:t>......</w:t>
            </w:r>
          </w:p>
        </w:tc>
        <w:tc>
          <w:tcPr>
            <w:tcW w:w="2309" w:type="pct"/>
            <w:noWrap/>
          </w:tcPr>
          <w:p>
            <w:pPr>
              <w:pStyle w:val="51"/>
              <w:rPr>
                <w:rFonts w:ascii="宋体" w:cs="宋体"/>
                <w:sz w:val="24"/>
                <w:szCs w:val="24"/>
              </w:rPr>
            </w:pPr>
          </w:p>
        </w:tc>
      </w:tr>
    </w:tbl>
    <w:p>
      <w:pPr>
        <w:pStyle w:val="51"/>
        <w:outlineLvl w:val="9"/>
        <w:rPr>
          <w:rFonts w:ascii="宋体" w:cs="宋体"/>
          <w:kern w:val="0"/>
          <w:sz w:val="24"/>
          <w:szCs w:val="24"/>
        </w:rPr>
      </w:pPr>
    </w:p>
    <w:p>
      <w:pPr>
        <w:pStyle w:val="51"/>
        <w:ind w:left="0" w:firstLine="480" w:firstLineChars="200"/>
        <w:outlineLvl w:val="9"/>
        <w:rPr>
          <w:rFonts w:ascii="宋体" w:cs="宋体"/>
          <w:kern w:val="0"/>
          <w:sz w:val="24"/>
          <w:szCs w:val="24"/>
        </w:rPr>
      </w:pPr>
      <w:r>
        <w:rPr>
          <w:rFonts w:hint="eastAsia" w:ascii="宋体" w:cs="宋体"/>
          <w:kern w:val="0"/>
          <w:sz w:val="24"/>
          <w:szCs w:val="24"/>
        </w:rPr>
        <w:t>二、我方承诺除上述已列正、负偏离条款说明外，其他技术参数完全满足招标文件第三章采购需求要求。</w:t>
      </w:r>
    </w:p>
    <w:p>
      <w:pPr>
        <w:widowControl/>
        <w:spacing w:before="78" w:after="78" w:line="500" w:lineRule="exact"/>
        <w:jc w:val="center"/>
        <w:rPr>
          <w:rFonts w:ascii="宋体" w:hAnsi="宋体" w:cs="宋体"/>
          <w:sz w:val="24"/>
        </w:rPr>
      </w:pPr>
    </w:p>
    <w:p>
      <w:pPr>
        <w:pStyle w:val="57"/>
        <w:adjustRightInd w:val="0"/>
        <w:spacing w:before="78" w:beforeLines="25" w:beforeAutospacing="0" w:after="78" w:afterLines="25" w:afterAutospacing="0" w:line="240" w:lineRule="auto"/>
        <w:ind w:firstLine="720" w:firstLineChars="300"/>
        <w:jc w:val="both"/>
        <w:rPr>
          <w:rFonts w:ascii="宋体" w:hAnsi="宋体" w:cs="宋体"/>
        </w:rPr>
      </w:pPr>
      <w:r>
        <w:rPr>
          <w:rFonts w:hint="eastAsia" w:ascii="宋体" w:hAnsi="宋体" w:cs="宋体"/>
        </w:rPr>
        <w:t>投标人（盖章）：</w:t>
      </w:r>
    </w:p>
    <w:p>
      <w:pPr>
        <w:pStyle w:val="57"/>
        <w:adjustRightInd w:val="0"/>
        <w:spacing w:before="78" w:beforeLines="25" w:beforeAutospacing="0" w:after="78" w:afterLines="25" w:afterAutospacing="0" w:line="240" w:lineRule="auto"/>
        <w:ind w:firstLine="720" w:firstLineChars="300"/>
        <w:jc w:val="both"/>
        <w:rPr>
          <w:rFonts w:ascii="宋体" w:hAnsi="宋体" w:cs="宋体"/>
        </w:rPr>
      </w:pPr>
    </w:p>
    <w:p>
      <w:pPr>
        <w:pStyle w:val="57"/>
        <w:adjustRightInd w:val="0"/>
        <w:spacing w:before="78" w:beforeLines="25" w:beforeAutospacing="0" w:after="78" w:afterLines="25" w:afterAutospacing="0" w:line="240" w:lineRule="auto"/>
        <w:ind w:firstLine="720" w:firstLineChars="300"/>
        <w:jc w:val="both"/>
        <w:rPr>
          <w:rFonts w:ascii="宋体" w:hAnsi="宋体" w:cs="宋体"/>
          <w:u w:val="single"/>
        </w:rPr>
      </w:pPr>
      <w:r>
        <w:rPr>
          <w:rFonts w:hint="eastAsia" w:ascii="宋体" w:hAnsi="宋体" w:cs="宋体"/>
        </w:rPr>
        <w:t>法定代表人（负责人）或其授权代表（签字或盖章）：</w:t>
      </w:r>
    </w:p>
    <w:p>
      <w:pPr>
        <w:pStyle w:val="57"/>
        <w:adjustRightInd w:val="0"/>
        <w:spacing w:before="78" w:beforeLines="25" w:beforeAutospacing="0" w:after="78" w:afterLines="25" w:afterAutospacing="0" w:line="240" w:lineRule="auto"/>
        <w:ind w:firstLine="720" w:firstLineChars="300"/>
        <w:jc w:val="both"/>
        <w:rPr>
          <w:rFonts w:ascii="宋体" w:hAnsi="宋体" w:cs="宋体"/>
        </w:rPr>
      </w:pPr>
    </w:p>
    <w:p>
      <w:pPr>
        <w:pStyle w:val="57"/>
        <w:adjustRightInd w:val="0"/>
        <w:spacing w:before="78" w:beforeLines="25" w:beforeAutospacing="0" w:after="78" w:afterLines="25" w:afterAutospacing="0" w:line="240" w:lineRule="auto"/>
        <w:ind w:firstLine="720" w:firstLineChars="300"/>
        <w:jc w:val="both"/>
        <w:rPr>
          <w:rFonts w:ascii="宋体" w:hAnsi="宋体" w:cs="宋体"/>
        </w:rPr>
      </w:pPr>
      <w:r>
        <w:rPr>
          <w:rFonts w:hint="eastAsia" w:ascii="宋体" w:hAnsi="宋体" w:cs="宋体"/>
        </w:rPr>
        <w:t>时间：        年    月    日</w:t>
      </w:r>
    </w:p>
    <w:p>
      <w:pPr>
        <w:widowControl/>
        <w:tabs>
          <w:tab w:val="left" w:pos="900"/>
        </w:tabs>
        <w:spacing w:before="78" w:after="78" w:line="440" w:lineRule="exact"/>
        <w:ind w:firstLine="241"/>
        <w:jc w:val="center"/>
        <w:outlineLvl w:val="1"/>
        <w:rPr>
          <w:rFonts w:ascii="宋体" w:hAnsi="宋体" w:cs="宋体"/>
          <w:b/>
          <w:bCs/>
          <w:sz w:val="28"/>
          <w:szCs w:val="28"/>
        </w:rPr>
      </w:pPr>
      <w:bookmarkStart w:id="135" w:name="_Toc14121"/>
      <w:bookmarkStart w:id="136" w:name="_Toc15092"/>
      <w:bookmarkStart w:id="137" w:name="_Toc2511"/>
      <w:bookmarkStart w:id="138" w:name="_Toc21273"/>
      <w:bookmarkStart w:id="139" w:name="_Toc13304"/>
      <w:bookmarkStart w:id="140" w:name="_Toc23059"/>
      <w:bookmarkStart w:id="141" w:name="_Toc26070"/>
      <w:bookmarkStart w:id="142" w:name="_Toc18909"/>
      <w:bookmarkStart w:id="143" w:name="_Toc1730"/>
      <w:bookmarkStart w:id="144" w:name="_Toc438714876"/>
      <w:bookmarkStart w:id="145" w:name="_Toc438714094"/>
      <w:bookmarkStart w:id="146" w:name="_Toc17469"/>
      <w:r>
        <w:rPr>
          <w:rFonts w:hint="eastAsia" w:ascii="宋体" w:hAnsi="宋体" w:cs="宋体"/>
          <w:b/>
          <w:bCs/>
          <w:sz w:val="24"/>
        </w:rPr>
        <w:br w:type="page"/>
      </w:r>
      <w:bookmarkStart w:id="147" w:name="_Toc21259"/>
      <w:r>
        <w:rPr>
          <w:rFonts w:hint="eastAsia" w:ascii="宋体" w:hAnsi="宋体" w:cs="宋体"/>
          <w:b/>
          <w:bCs/>
          <w:sz w:val="28"/>
          <w:szCs w:val="28"/>
        </w:rPr>
        <w:t>七、</w:t>
      </w:r>
      <w:bookmarkStart w:id="148" w:name="_Toc438714095"/>
      <w:bookmarkStart w:id="149" w:name="_Toc438714877"/>
      <w:r>
        <w:rPr>
          <w:rFonts w:hint="eastAsia" w:ascii="宋体" w:hAnsi="宋体" w:cs="宋体"/>
          <w:b/>
          <w:bCs/>
          <w:sz w:val="28"/>
          <w:szCs w:val="28"/>
        </w:rPr>
        <w:t>资格证明文件</w:t>
      </w:r>
      <w:bookmarkEnd w:id="135"/>
      <w:bookmarkEnd w:id="136"/>
      <w:bookmarkEnd w:id="137"/>
      <w:bookmarkEnd w:id="138"/>
      <w:bookmarkEnd w:id="139"/>
      <w:bookmarkEnd w:id="140"/>
      <w:bookmarkEnd w:id="141"/>
      <w:bookmarkEnd w:id="142"/>
      <w:bookmarkEnd w:id="143"/>
      <w:bookmarkEnd w:id="147"/>
      <w:bookmarkEnd w:id="148"/>
      <w:bookmarkEnd w:id="149"/>
    </w:p>
    <w:p>
      <w:pPr>
        <w:pStyle w:val="23"/>
        <w:spacing w:beforeAutospacing="0" w:afterAutospacing="0"/>
        <w:jc w:val="both"/>
        <w:rPr>
          <w:highlight w:val="none"/>
        </w:rPr>
      </w:pPr>
      <w:bookmarkStart w:id="150" w:name="_Toc20238"/>
      <w:bookmarkStart w:id="151" w:name="_Toc28781"/>
      <w:bookmarkStart w:id="152" w:name="_Toc4581"/>
      <w:bookmarkStart w:id="153" w:name="_Toc4332"/>
      <w:r>
        <w:rPr>
          <w:rFonts w:hint="eastAsia" w:ascii="黑体" w:hAnsi="宋体" w:eastAsia="黑体" w:cs="黑体"/>
          <w:i/>
          <w:color w:val="000000"/>
          <w:sz w:val="32"/>
          <w:szCs w:val="32"/>
          <w:highlight w:val="none"/>
          <w:u w:val="single"/>
        </w:rPr>
        <w:t>一、法人或者其他组织的营业执照等证明文件，自然人的身份证明</w:t>
      </w:r>
    </w:p>
    <w:p>
      <w:pPr>
        <w:pStyle w:val="23"/>
        <w:spacing w:beforeAutospacing="0" w:afterAutospacing="0" w:line="0" w:lineRule="atLeast"/>
        <w:ind w:firstLine="480"/>
        <w:jc w:val="both"/>
        <w:rPr>
          <w:rFonts w:hint="eastAsia" w:eastAsia="宋体"/>
          <w:highlight w:val="none"/>
          <w:lang w:eastAsia="zh-CN"/>
        </w:rPr>
      </w:pPr>
      <w:r>
        <w:rPr>
          <w:highlight w:val="none"/>
        </w:rPr>
        <w:t> </w:t>
      </w:r>
      <w:r>
        <w:rPr>
          <w:rFonts w:hint="eastAsia"/>
          <w:highlight w:val="none"/>
          <w:lang w:eastAsia="zh-CN"/>
        </w:rPr>
        <w:t>（</w:t>
      </w:r>
      <w:r>
        <w:rPr>
          <w:rFonts w:hint="eastAsia"/>
          <w:highlight w:val="none"/>
          <w:lang w:val="en-US" w:eastAsia="zh-CN"/>
        </w:rPr>
        <w:t>须原件彩色扫描件</w:t>
      </w:r>
      <w:r>
        <w:rPr>
          <w:rFonts w:hint="eastAsia"/>
          <w:highlight w:val="none"/>
          <w:lang w:eastAsia="zh-CN"/>
        </w:rPr>
        <w:t>）</w:t>
      </w:r>
    </w:p>
    <w:p>
      <w:pPr>
        <w:pStyle w:val="23"/>
        <w:spacing w:beforeAutospacing="0" w:afterAutospacing="0"/>
        <w:jc w:val="both"/>
        <w:rPr>
          <w:rFonts w:hint="eastAsia" w:eastAsia="黑体"/>
          <w:highlight w:val="none"/>
          <w:lang w:val="en-US" w:eastAsia="zh-CN"/>
        </w:rPr>
      </w:pPr>
      <w:r>
        <w:rPr>
          <w:rFonts w:hint="eastAsia" w:ascii="黑体" w:hAnsi="宋体" w:eastAsia="黑体" w:cs="黑体"/>
          <w:i/>
          <w:color w:val="000000"/>
          <w:sz w:val="32"/>
          <w:szCs w:val="32"/>
          <w:highlight w:val="none"/>
          <w:u w:val="single"/>
        </w:rPr>
        <w:t>二、上一年度的财务状况报</w:t>
      </w:r>
      <w:r>
        <w:rPr>
          <w:rFonts w:hint="eastAsia" w:ascii="黑体" w:hAnsi="宋体" w:eastAsia="黑体" w:cs="黑体"/>
          <w:i/>
          <w:color w:val="000000"/>
          <w:sz w:val="32"/>
          <w:szCs w:val="32"/>
          <w:highlight w:val="none"/>
          <w:u w:val="single"/>
          <w:lang w:val="en-US" w:eastAsia="zh-CN"/>
        </w:rPr>
        <w:t>告</w:t>
      </w:r>
    </w:p>
    <w:p>
      <w:pPr>
        <w:tabs>
          <w:tab w:val="left" w:pos="1331"/>
        </w:tabs>
        <w:bidi w:val="0"/>
        <w:jc w:val="left"/>
        <w:rPr>
          <w:rFonts w:hint="eastAsia" w:ascii="宋体" w:hAnsi="宋体" w:eastAsia="宋体" w:cs="宋体"/>
          <w:i w:val="0"/>
          <w:iCs/>
          <w:color w:val="000000"/>
          <w:kern w:val="0"/>
          <w:sz w:val="24"/>
          <w:szCs w:val="24"/>
          <w:highlight w:val="none"/>
          <w:u w:val="none"/>
          <w:lang w:val="en-US" w:eastAsia="zh-CN" w:bidi="ar-SA"/>
        </w:rPr>
      </w:pPr>
      <w:r>
        <w:rPr>
          <w:rFonts w:hint="eastAsia" w:ascii="宋体" w:hAnsi="宋体" w:eastAsia="宋体" w:cs="宋体"/>
          <w:i w:val="0"/>
          <w:iCs/>
          <w:color w:val="000000"/>
          <w:kern w:val="0"/>
          <w:sz w:val="24"/>
          <w:szCs w:val="24"/>
          <w:highlight w:val="none"/>
          <w:u w:val="none"/>
          <w:lang w:val="en-US" w:eastAsia="zh-CN" w:bidi="ar-SA"/>
        </w:rPr>
        <w:t>（至少提供资产负债表、利润表、现金流量表，投标人成立不满一年无需提供）</w:t>
      </w:r>
    </w:p>
    <w:p>
      <w:pPr>
        <w:pStyle w:val="23"/>
        <w:spacing w:beforeAutospacing="0" w:afterAutospacing="0"/>
        <w:jc w:val="both"/>
        <w:rPr>
          <w:highlight w:val="none"/>
        </w:rPr>
      </w:pPr>
    </w:p>
    <w:p>
      <w:pPr>
        <w:pStyle w:val="23"/>
        <w:spacing w:beforeAutospacing="0" w:afterAutospacing="0"/>
        <w:jc w:val="both"/>
        <w:rPr>
          <w:highlight w:val="none"/>
        </w:rPr>
      </w:pPr>
      <w:r>
        <w:rPr>
          <w:rFonts w:hint="eastAsia" w:ascii="黑体" w:hAnsi="宋体" w:eastAsia="黑体" w:cs="黑体"/>
          <w:i/>
          <w:color w:val="000000"/>
          <w:sz w:val="32"/>
          <w:szCs w:val="32"/>
          <w:highlight w:val="none"/>
          <w:u w:val="single"/>
          <w:lang w:val="en-US" w:eastAsia="zh-CN"/>
        </w:rPr>
        <w:t>三</w:t>
      </w:r>
      <w:r>
        <w:rPr>
          <w:rFonts w:hint="eastAsia" w:ascii="黑体" w:hAnsi="宋体" w:eastAsia="黑体" w:cs="黑体"/>
          <w:i/>
          <w:color w:val="000000"/>
          <w:sz w:val="32"/>
          <w:szCs w:val="32"/>
          <w:highlight w:val="none"/>
          <w:u w:val="single"/>
        </w:rPr>
        <w:t>、具备履行合同所必需的设备和专业技术能力的书面声明</w:t>
      </w:r>
    </w:p>
    <w:p>
      <w:pPr>
        <w:pStyle w:val="23"/>
        <w:spacing w:beforeAutospacing="0" w:afterAutospacing="0" w:line="0" w:lineRule="atLeast"/>
        <w:ind w:firstLine="492"/>
        <w:jc w:val="both"/>
        <w:rPr>
          <w:rFonts w:hint="eastAsia" w:ascii="宋体" w:hAnsi="宋体" w:eastAsia="宋体" w:cs="宋体"/>
          <w:color w:val="000000"/>
          <w:highlight w:val="none"/>
        </w:rPr>
      </w:pPr>
      <w:r>
        <w:rPr>
          <w:rFonts w:hint="eastAsia" w:ascii="宋体" w:hAnsi="宋体" w:eastAsia="宋体" w:cs="宋体"/>
          <w:color w:val="000000"/>
          <w:highlight w:val="none"/>
        </w:rPr>
        <w:t>我单位郑重声明：我单位具备履行本项采购合同所必需的设备和专业技术能力，为履行本项采购合同我公司具备如下主要设备和主要专业技术能力：</w:t>
      </w:r>
    </w:p>
    <w:p>
      <w:pPr>
        <w:pStyle w:val="23"/>
        <w:spacing w:beforeAutospacing="0" w:afterAutospacing="0" w:line="0" w:lineRule="atLeast"/>
        <w:ind w:firstLine="492"/>
        <w:jc w:val="both"/>
        <w:rPr>
          <w:rFonts w:hint="eastAsia" w:ascii="宋体" w:hAnsi="宋体" w:eastAsia="宋体" w:cs="宋体"/>
          <w:color w:val="000000"/>
          <w:highlight w:val="none"/>
        </w:rPr>
      </w:pPr>
    </w:p>
    <w:p>
      <w:pPr>
        <w:pStyle w:val="23"/>
        <w:spacing w:beforeAutospacing="0" w:afterAutospacing="0" w:line="0" w:lineRule="atLeast"/>
        <w:ind w:firstLine="492"/>
        <w:jc w:val="both"/>
        <w:rPr>
          <w:highlight w:val="none"/>
        </w:rPr>
      </w:pPr>
      <w:r>
        <w:rPr>
          <w:rFonts w:hint="eastAsia" w:ascii="宋体" w:hAnsi="宋体" w:eastAsia="宋体" w:cs="宋体"/>
          <w:color w:val="000000"/>
          <w:highlight w:val="none"/>
        </w:rPr>
        <w:t>主要设备有：</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w:t>
      </w:r>
    </w:p>
    <w:p>
      <w:pPr>
        <w:pStyle w:val="23"/>
        <w:spacing w:beforeAutospacing="0" w:afterAutospacing="0"/>
        <w:jc w:val="both"/>
        <w:rPr>
          <w:rFonts w:hint="eastAsia" w:ascii="宋体" w:hAnsi="宋体" w:eastAsia="宋体" w:cs="宋体"/>
          <w:color w:val="000000"/>
          <w:highlight w:val="none"/>
        </w:rPr>
      </w:pPr>
      <w:r>
        <w:rPr>
          <w:rFonts w:hint="eastAsia" w:ascii="宋体" w:hAnsi="宋体" w:eastAsia="宋体" w:cs="宋体"/>
          <w:color w:val="000000"/>
          <w:highlight w:val="none"/>
        </w:rPr>
        <w:t>主要专业技术能力有：</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w:t>
      </w:r>
    </w:p>
    <w:p>
      <w:pPr>
        <w:pStyle w:val="23"/>
        <w:spacing w:beforeAutospacing="0" w:afterAutospacing="0"/>
        <w:jc w:val="both"/>
        <w:rPr>
          <w:highlight w:val="none"/>
        </w:rPr>
      </w:pPr>
      <w:r>
        <w:rPr>
          <w:rFonts w:hint="eastAsia" w:ascii="黑体" w:hAnsi="宋体" w:eastAsia="黑体" w:cs="黑体"/>
          <w:i/>
          <w:color w:val="000000"/>
          <w:sz w:val="32"/>
          <w:szCs w:val="32"/>
          <w:highlight w:val="none"/>
          <w:u w:val="single"/>
          <w:lang w:val="en-US" w:eastAsia="zh-CN"/>
        </w:rPr>
        <w:t>四</w:t>
      </w:r>
      <w:r>
        <w:rPr>
          <w:rFonts w:hint="eastAsia" w:ascii="黑体" w:hAnsi="宋体" w:eastAsia="黑体" w:cs="黑体"/>
          <w:i/>
          <w:color w:val="000000"/>
          <w:sz w:val="32"/>
          <w:szCs w:val="32"/>
          <w:highlight w:val="none"/>
          <w:u w:val="single"/>
        </w:rPr>
        <w:t>、依法缴纳税收和社会保障资金的相关材料</w:t>
      </w:r>
    </w:p>
    <w:p>
      <w:pPr>
        <w:pStyle w:val="23"/>
        <w:spacing w:beforeAutospacing="0" w:afterAutospacing="0"/>
        <w:ind w:firstLine="480"/>
        <w:jc w:val="both"/>
        <w:rPr>
          <w:highlight w:val="none"/>
        </w:rPr>
      </w:pPr>
      <w:bookmarkStart w:id="154" w:name="_Toc120614284"/>
      <w:r>
        <w:rPr>
          <w:rStyle w:val="50"/>
          <w:rFonts w:hint="eastAsia" w:ascii="宋体" w:hAnsi="宋体" w:cs="宋体"/>
          <w:color w:val="FF0000"/>
          <w:sz w:val="24"/>
        </w:rPr>
        <w:t>（提供提交投标文件截止时间前</w:t>
      </w:r>
      <w:r>
        <w:rPr>
          <w:rStyle w:val="50"/>
          <w:rFonts w:hint="eastAsia" w:ascii="宋体" w:hAnsi="宋体" w:cs="宋体"/>
          <w:color w:val="FF0000"/>
          <w:sz w:val="24"/>
          <w:lang w:val="en-US" w:eastAsia="zh-CN"/>
        </w:rPr>
        <w:t>三个月</w:t>
      </w:r>
      <w:r>
        <w:rPr>
          <w:rStyle w:val="50"/>
          <w:rFonts w:hint="eastAsia" w:ascii="宋体" w:hAnsi="宋体" w:cs="宋体"/>
          <w:color w:val="FF0000"/>
          <w:sz w:val="24"/>
        </w:rPr>
        <w:t>内至少一个月依法缴纳税收及缴纳社会保障资金的证明材料</w:t>
      </w:r>
      <w:r>
        <w:rPr>
          <w:rStyle w:val="50"/>
          <w:rFonts w:hint="eastAsia" w:ascii="宋体" w:hAnsi="宋体" w:cs="宋体"/>
          <w:color w:val="FF0000"/>
          <w:sz w:val="24"/>
          <w:lang w:eastAsia="zh-CN"/>
        </w:rPr>
        <w:t>。</w:t>
      </w:r>
      <w:r>
        <w:rPr>
          <w:rFonts w:hint="eastAsia" w:ascii="宋体" w:hAnsi="宋体" w:eastAsia="宋体" w:cs="宋体"/>
          <w:color w:val="000000"/>
          <w:highlight w:val="none"/>
        </w:rPr>
        <w:t>投标人依法享受缓缴、免缴税收、社会保障资金的提供证明材料。</w:t>
      </w:r>
      <w:bookmarkEnd w:id="154"/>
    </w:p>
    <w:p>
      <w:pPr>
        <w:pStyle w:val="23"/>
        <w:spacing w:beforeAutospacing="0" w:afterAutospacing="0"/>
        <w:jc w:val="both"/>
        <w:rPr>
          <w:highlight w:val="none"/>
        </w:rPr>
      </w:pPr>
      <w:r>
        <w:rPr>
          <w:rFonts w:hint="eastAsia" w:ascii="黑体" w:hAnsi="宋体" w:eastAsia="黑体" w:cs="黑体"/>
          <w:i/>
          <w:color w:val="000000"/>
          <w:sz w:val="32"/>
          <w:szCs w:val="32"/>
          <w:highlight w:val="none"/>
          <w:u w:val="single"/>
        </w:rPr>
        <w:t>五、参加政府采购活动前 3 年内在经营活动中没有重大违法记录的书面声明</w:t>
      </w:r>
    </w:p>
    <w:p>
      <w:pPr>
        <w:pStyle w:val="23"/>
        <w:spacing w:beforeAutospacing="0" w:afterAutospacing="0" w:line="0" w:lineRule="atLeast"/>
        <w:jc w:val="both"/>
        <w:rPr>
          <w:highlight w:val="none"/>
        </w:rPr>
      </w:pPr>
      <w:r>
        <w:rPr>
          <w:rFonts w:hint="eastAsia" w:ascii="宋体" w:hAnsi="宋体" w:eastAsia="宋体" w:cs="宋体"/>
          <w:b/>
          <w:color w:val="000000"/>
          <w:sz w:val="44"/>
          <w:szCs w:val="44"/>
          <w:highlight w:val="none"/>
        </w:rPr>
        <w:t>       声  明</w:t>
      </w:r>
    </w:p>
    <w:p>
      <w:pPr>
        <w:pStyle w:val="23"/>
        <w:spacing w:beforeAutospacing="0" w:afterAutospacing="0" w:line="0" w:lineRule="atLeast"/>
        <w:jc w:val="both"/>
        <w:rPr>
          <w:highlight w:val="none"/>
        </w:rPr>
      </w:pPr>
      <w:r>
        <w:rPr>
          <w:rFonts w:hint="eastAsia" w:ascii="宋体" w:hAnsi="宋体" w:eastAsia="宋体" w:cs="宋体"/>
          <w:b/>
          <w:color w:val="000000"/>
          <w:highlight w:val="none"/>
        </w:rPr>
        <w:t xml:space="preserve">    </w:t>
      </w:r>
      <w:r>
        <w:rPr>
          <w:rFonts w:hint="eastAsia" w:ascii="宋体" w:hAnsi="宋体" w:eastAsia="宋体" w:cs="宋体"/>
          <w:color w:val="000000"/>
          <w:highlight w:val="none"/>
        </w:rPr>
        <w:t>我单位郑重声明：参加本次政府采购活动前 3 年内，我单位在经营活动中没有因违法经营受到刑事处罚或者责令停产停业、吊销许可证或者执照、较大数额罚款等行政处罚。</w:t>
      </w:r>
    </w:p>
    <w:p>
      <w:pPr>
        <w:pStyle w:val="23"/>
        <w:rPr>
          <w:rFonts w:hint="eastAsia" w:ascii="黑体" w:hAnsi="宋体" w:eastAsia="黑体" w:cs="黑体"/>
          <w:i/>
          <w:color w:val="000000"/>
          <w:sz w:val="30"/>
          <w:szCs w:val="30"/>
          <w:highlight w:val="none"/>
          <w:u w:val="single"/>
        </w:rPr>
      </w:pPr>
      <w:r>
        <w:rPr>
          <w:rFonts w:hint="eastAsia" w:ascii="黑体" w:hAnsi="宋体" w:eastAsia="黑体" w:cs="黑体"/>
          <w:i/>
          <w:color w:val="000000"/>
          <w:sz w:val="30"/>
          <w:szCs w:val="30"/>
          <w:highlight w:val="none"/>
          <w:u w:val="single"/>
        </w:rPr>
        <w:t>（</w:t>
      </w:r>
      <w:r>
        <w:rPr>
          <w:rFonts w:hint="eastAsia" w:ascii="黑体" w:eastAsia="黑体" w:cs="黑体"/>
          <w:i/>
          <w:color w:val="000000"/>
          <w:sz w:val="30"/>
          <w:szCs w:val="30"/>
          <w:highlight w:val="none"/>
          <w:u w:val="single"/>
          <w:lang w:val="en-US" w:eastAsia="zh-CN"/>
        </w:rPr>
        <w:t>六</w:t>
      </w:r>
      <w:r>
        <w:rPr>
          <w:rFonts w:hint="eastAsia" w:ascii="黑体" w:hAnsi="宋体" w:eastAsia="黑体" w:cs="黑体"/>
          <w:i/>
          <w:color w:val="000000"/>
          <w:sz w:val="30"/>
          <w:szCs w:val="30"/>
          <w:highlight w:val="none"/>
          <w:u w:val="single"/>
        </w:rPr>
        <w:t>）单位负责人为同一人或者存在直接控股、管理关系的不同供应商，不得参加同一合同项下的政府采购活动。（投标时提供承诺，格式自拟）</w:t>
      </w:r>
    </w:p>
    <w:p>
      <w:pPr>
        <w:spacing w:line="360" w:lineRule="auto"/>
        <w:ind w:firstLine="0"/>
        <w:rPr>
          <w:rFonts w:hint="eastAsia" w:ascii="宋体" w:hAnsi="宋体" w:eastAsia="宋体" w:cs="宋体"/>
          <w:color w:val="000000"/>
          <w:highlight w:val="none"/>
        </w:rPr>
      </w:pPr>
      <w:r>
        <w:rPr>
          <w:rStyle w:val="50"/>
          <w:rFonts w:hint="eastAsia" w:ascii="宋体" w:hAnsi="宋体" w:cs="宋体"/>
          <w:b/>
          <w:bCs/>
          <w:i/>
          <w:iCs/>
          <w:sz w:val="30"/>
          <w:szCs w:val="30"/>
          <w:u w:val="single"/>
        </w:rPr>
        <w:t>（</w:t>
      </w:r>
      <w:r>
        <w:rPr>
          <w:rStyle w:val="50"/>
          <w:rFonts w:hint="eastAsia" w:ascii="宋体" w:hAnsi="宋体" w:cs="宋体"/>
          <w:b/>
          <w:bCs/>
          <w:i/>
          <w:iCs/>
          <w:sz w:val="30"/>
          <w:szCs w:val="30"/>
          <w:u w:val="single"/>
          <w:lang w:val="en-US" w:eastAsia="zh-CN"/>
        </w:rPr>
        <w:t>七</w:t>
      </w:r>
      <w:r>
        <w:rPr>
          <w:rStyle w:val="50"/>
          <w:rFonts w:hint="eastAsia" w:ascii="宋体" w:hAnsi="宋体" w:cs="宋体"/>
          <w:b/>
          <w:bCs/>
          <w:i/>
          <w:iCs/>
          <w:sz w:val="30"/>
          <w:szCs w:val="30"/>
          <w:u w:val="single"/>
        </w:rPr>
        <w:t>）在“信用中国”网站查询，未被列入失信被执行人、重大税收违法失信主体名单、严重失信主体名单及其他不符合《中华人民共和国政府采购法》第二十二条规定条件的信用记录；</w:t>
      </w:r>
      <w:bookmarkStart w:id="162" w:name="_GoBack"/>
      <w:bookmarkEnd w:id="162"/>
    </w:p>
    <w:bookmarkEnd w:id="144"/>
    <w:bookmarkEnd w:id="145"/>
    <w:bookmarkEnd w:id="146"/>
    <w:bookmarkEnd w:id="150"/>
    <w:bookmarkEnd w:id="151"/>
    <w:bookmarkEnd w:id="152"/>
    <w:bookmarkEnd w:id="153"/>
    <w:p>
      <w:pPr>
        <w:spacing w:before="78" w:after="78"/>
        <w:ind w:firstLine="3092" w:firstLineChars="1100"/>
        <w:jc w:val="both"/>
        <w:outlineLvl w:val="1"/>
        <w:rPr>
          <w:rFonts w:ascii="宋体" w:hAnsi="宋体" w:cs="宋体"/>
          <w:b/>
          <w:bCs/>
          <w:sz w:val="28"/>
          <w:szCs w:val="28"/>
        </w:rPr>
      </w:pPr>
      <w:bookmarkStart w:id="155" w:name="_Toc3409"/>
      <w:bookmarkStart w:id="156" w:name="_Toc22955"/>
      <w:r>
        <w:rPr>
          <w:rFonts w:hint="eastAsia" w:ascii="宋体" w:hAnsi="宋体" w:cs="宋体"/>
          <w:b/>
          <w:bCs/>
          <w:sz w:val="28"/>
          <w:szCs w:val="28"/>
        </w:rPr>
        <w:t>八、</w:t>
      </w:r>
      <w:bookmarkEnd w:id="155"/>
      <w:r>
        <w:rPr>
          <w:rFonts w:hint="eastAsia" w:ascii="宋体" w:hAnsi="宋体" w:cs="宋体"/>
          <w:b/>
          <w:bCs/>
          <w:sz w:val="28"/>
          <w:szCs w:val="28"/>
        </w:rPr>
        <w:t>投标人承诺的服务条款</w:t>
      </w:r>
      <w:bookmarkEnd w:id="156"/>
    </w:p>
    <w:p>
      <w:pPr>
        <w:spacing w:before="78" w:after="78" w:line="520" w:lineRule="exact"/>
        <w:ind w:firstLine="482" w:firstLineChars="200"/>
        <w:rPr>
          <w:rFonts w:ascii="宋体" w:hAnsi="宋体" w:cs="宋体"/>
          <w:b/>
          <w:sz w:val="24"/>
          <w:szCs w:val="21"/>
        </w:rPr>
      </w:pPr>
      <w:r>
        <w:rPr>
          <w:rFonts w:hint="eastAsia" w:ascii="宋体" w:hAnsi="宋体" w:cs="宋体"/>
          <w:b/>
          <w:sz w:val="24"/>
          <w:szCs w:val="21"/>
        </w:rPr>
        <w:t>一、售后服务承诺</w:t>
      </w:r>
    </w:p>
    <w:p>
      <w:pPr>
        <w:shd w:val="clear" w:color="auto" w:fill="FFFFFF"/>
        <w:spacing w:before="78" w:after="78" w:line="400" w:lineRule="exact"/>
        <w:ind w:firstLine="960" w:firstLineChars="400"/>
        <w:rPr>
          <w:rFonts w:ascii="宋体" w:hAnsi="宋体" w:cs="宋体"/>
          <w:sz w:val="24"/>
          <w:szCs w:val="21"/>
        </w:rPr>
      </w:pPr>
    </w:p>
    <w:p>
      <w:pPr>
        <w:shd w:val="clear" w:color="auto" w:fill="FFFFFF"/>
        <w:spacing w:before="78" w:after="78" w:line="400" w:lineRule="exact"/>
        <w:ind w:firstLine="960" w:firstLineChars="400"/>
        <w:rPr>
          <w:rFonts w:ascii="宋体" w:hAnsi="宋体" w:cs="宋体"/>
          <w:sz w:val="24"/>
          <w:szCs w:val="21"/>
        </w:rPr>
      </w:pPr>
      <w:r>
        <w:rPr>
          <w:rFonts w:hint="eastAsia" w:ascii="宋体" w:hAnsi="宋体" w:cs="宋体"/>
          <w:sz w:val="24"/>
          <w:szCs w:val="21"/>
        </w:rPr>
        <w:t>格式自拟</w:t>
      </w:r>
    </w:p>
    <w:p>
      <w:pPr>
        <w:shd w:val="clear" w:color="auto" w:fill="FFFFFF"/>
        <w:spacing w:before="78" w:after="78" w:line="400" w:lineRule="exact"/>
        <w:ind w:firstLine="960" w:firstLineChars="400"/>
        <w:rPr>
          <w:rFonts w:ascii="宋体" w:hAnsi="宋体" w:cs="宋体"/>
          <w:sz w:val="24"/>
          <w:szCs w:val="21"/>
        </w:rPr>
      </w:pPr>
    </w:p>
    <w:p>
      <w:pPr>
        <w:spacing w:before="78" w:after="78" w:line="520" w:lineRule="exact"/>
        <w:ind w:firstLine="482" w:firstLineChars="200"/>
        <w:rPr>
          <w:rFonts w:ascii="宋体" w:hAnsi="宋体" w:cs="宋体"/>
          <w:b/>
          <w:sz w:val="24"/>
          <w:szCs w:val="21"/>
        </w:rPr>
      </w:pPr>
      <w:r>
        <w:rPr>
          <w:rFonts w:hint="eastAsia" w:ascii="宋体" w:hAnsi="宋体" w:cs="宋体"/>
          <w:b/>
          <w:sz w:val="24"/>
          <w:szCs w:val="21"/>
        </w:rPr>
        <w:t>二、其他承诺如有请自行填写：</w:t>
      </w:r>
    </w:p>
    <w:p>
      <w:pPr>
        <w:spacing w:before="78" w:after="78" w:line="520" w:lineRule="exact"/>
        <w:ind w:firstLine="480" w:firstLineChars="200"/>
        <w:rPr>
          <w:rFonts w:ascii="宋体" w:hAnsi="宋体" w:cs="宋体"/>
          <w:b/>
          <w:sz w:val="32"/>
        </w:rPr>
      </w:pPr>
      <w:r>
        <w:rPr>
          <w:rFonts w:hint="eastAsia" w:ascii="宋体" w:hAnsi="宋体" w:cs="宋体"/>
          <w:sz w:val="24"/>
          <w:szCs w:val="21"/>
        </w:rPr>
        <w:t>格式自拟</w:t>
      </w:r>
    </w:p>
    <w:p>
      <w:pPr>
        <w:spacing w:before="78" w:after="78" w:line="520" w:lineRule="exact"/>
        <w:ind w:firstLine="643" w:firstLineChars="200"/>
        <w:rPr>
          <w:rFonts w:ascii="宋体" w:hAnsi="宋体" w:cs="宋体"/>
          <w:b/>
          <w:sz w:val="32"/>
        </w:rPr>
      </w:pPr>
    </w:p>
    <w:p>
      <w:pPr>
        <w:spacing w:before="78" w:after="78" w:line="520" w:lineRule="exact"/>
        <w:ind w:firstLine="5040" w:firstLineChars="2100"/>
        <w:rPr>
          <w:rFonts w:ascii="宋体" w:hAnsi="宋体" w:cs="宋体"/>
          <w:sz w:val="24"/>
        </w:rPr>
      </w:pPr>
      <w:r>
        <w:rPr>
          <w:rFonts w:hint="eastAsia" w:ascii="宋体" w:hAnsi="宋体" w:cs="宋体"/>
          <w:sz w:val="24"/>
        </w:rPr>
        <w:t>投标单位（盖 章）：</w:t>
      </w:r>
    </w:p>
    <w:p>
      <w:pPr>
        <w:spacing w:before="78" w:after="78" w:line="520" w:lineRule="exact"/>
        <w:ind w:firstLine="4440" w:firstLineChars="1850"/>
        <w:rPr>
          <w:rFonts w:ascii="宋体" w:hAnsi="宋体" w:cs="宋体"/>
          <w:sz w:val="24"/>
        </w:rPr>
      </w:pPr>
    </w:p>
    <w:p>
      <w:pPr>
        <w:spacing w:before="78" w:after="78"/>
        <w:ind w:firstLine="5520" w:firstLineChars="2300"/>
        <w:rPr>
          <w:rFonts w:ascii="宋体" w:hAnsi="宋体" w:cs="宋体"/>
          <w:sz w:val="24"/>
        </w:rPr>
      </w:pPr>
      <w:r>
        <w:rPr>
          <w:rFonts w:hint="eastAsia" w:ascii="宋体" w:hAnsi="宋体" w:cs="宋体"/>
          <w:sz w:val="24"/>
        </w:rPr>
        <w:t>年  月  日</w:t>
      </w:r>
    </w:p>
    <w:p>
      <w:pPr>
        <w:spacing w:before="78" w:beforeLines="25" w:after="78" w:afterLines="25"/>
        <w:ind w:left="420" w:leftChars="200" w:firstLine="281"/>
        <w:jc w:val="center"/>
        <w:rPr>
          <w:rFonts w:ascii="宋体" w:hAnsi="宋体" w:cs="宋体"/>
          <w:b/>
          <w:bCs/>
          <w:sz w:val="28"/>
          <w:szCs w:val="28"/>
        </w:rPr>
      </w:pPr>
    </w:p>
    <w:p>
      <w:pPr>
        <w:spacing w:before="78" w:after="78" w:line="360" w:lineRule="exact"/>
        <w:ind w:firstLine="562" w:firstLineChars="200"/>
        <w:jc w:val="center"/>
        <w:rPr>
          <w:rFonts w:ascii="宋体" w:hAnsi="宋体" w:cs="宋体"/>
          <w:b/>
          <w:bCs/>
          <w:sz w:val="28"/>
          <w:szCs w:val="28"/>
        </w:rPr>
      </w:pPr>
    </w:p>
    <w:p>
      <w:pPr>
        <w:spacing w:before="78" w:after="78" w:line="360" w:lineRule="exact"/>
        <w:ind w:firstLine="562" w:firstLineChars="200"/>
        <w:jc w:val="center"/>
        <w:rPr>
          <w:rFonts w:ascii="宋体" w:hAnsi="宋体" w:cs="宋体"/>
          <w:b/>
          <w:bCs/>
          <w:sz w:val="28"/>
          <w:szCs w:val="28"/>
        </w:rPr>
      </w:pPr>
    </w:p>
    <w:p>
      <w:pPr>
        <w:pStyle w:val="49"/>
        <w:rPr>
          <w:rFonts w:eastAsia="宋体"/>
          <w:b/>
          <w:bCs/>
          <w:color w:val="auto"/>
          <w:sz w:val="28"/>
          <w:szCs w:val="28"/>
        </w:rPr>
      </w:pPr>
    </w:p>
    <w:p>
      <w:pPr>
        <w:pStyle w:val="49"/>
        <w:rPr>
          <w:rFonts w:eastAsia="宋体"/>
          <w:b/>
          <w:bCs/>
          <w:color w:val="auto"/>
          <w:sz w:val="28"/>
          <w:szCs w:val="28"/>
        </w:rPr>
      </w:pPr>
    </w:p>
    <w:p>
      <w:pPr>
        <w:pStyle w:val="49"/>
        <w:rPr>
          <w:rFonts w:eastAsia="宋体"/>
          <w:b/>
          <w:bCs/>
          <w:color w:val="auto"/>
          <w:sz w:val="28"/>
          <w:szCs w:val="28"/>
        </w:rPr>
      </w:pPr>
    </w:p>
    <w:p>
      <w:pPr>
        <w:pStyle w:val="49"/>
        <w:rPr>
          <w:rFonts w:eastAsia="宋体"/>
          <w:b/>
          <w:bCs/>
          <w:color w:val="auto"/>
          <w:sz w:val="28"/>
          <w:szCs w:val="28"/>
        </w:rPr>
      </w:pPr>
    </w:p>
    <w:p>
      <w:pPr>
        <w:pStyle w:val="49"/>
        <w:rPr>
          <w:rFonts w:eastAsia="宋体"/>
          <w:b/>
          <w:bCs/>
          <w:color w:val="auto"/>
          <w:sz w:val="28"/>
          <w:szCs w:val="28"/>
        </w:rPr>
      </w:pPr>
    </w:p>
    <w:p>
      <w:pPr>
        <w:pStyle w:val="49"/>
        <w:rPr>
          <w:rFonts w:eastAsia="宋体"/>
          <w:b/>
          <w:bCs/>
          <w:color w:val="auto"/>
          <w:sz w:val="28"/>
          <w:szCs w:val="28"/>
        </w:rPr>
      </w:pPr>
    </w:p>
    <w:p>
      <w:pPr>
        <w:pStyle w:val="49"/>
        <w:rPr>
          <w:rFonts w:eastAsia="宋体"/>
          <w:b/>
          <w:bCs/>
          <w:color w:val="auto"/>
          <w:sz w:val="28"/>
          <w:szCs w:val="28"/>
        </w:rPr>
      </w:pPr>
    </w:p>
    <w:p>
      <w:pPr>
        <w:spacing w:before="78" w:after="78" w:line="560" w:lineRule="exact"/>
        <w:ind w:firstLine="281"/>
        <w:jc w:val="center"/>
        <w:rPr>
          <w:rFonts w:ascii="宋体" w:hAnsi="宋体" w:cs="宋体"/>
          <w:b/>
          <w:sz w:val="28"/>
          <w:szCs w:val="28"/>
        </w:rPr>
      </w:pPr>
    </w:p>
    <w:p>
      <w:pPr>
        <w:pStyle w:val="49"/>
        <w:rPr>
          <w:rFonts w:eastAsia="宋体"/>
          <w:b/>
          <w:color w:val="auto"/>
          <w:sz w:val="28"/>
          <w:szCs w:val="28"/>
        </w:rPr>
      </w:pPr>
    </w:p>
    <w:p>
      <w:pPr>
        <w:pStyle w:val="49"/>
        <w:rPr>
          <w:rFonts w:eastAsia="宋体"/>
          <w:b/>
          <w:color w:val="auto"/>
          <w:sz w:val="28"/>
          <w:szCs w:val="28"/>
        </w:rPr>
      </w:pPr>
    </w:p>
    <w:p>
      <w:pPr>
        <w:tabs>
          <w:tab w:val="center" w:pos="4621"/>
          <w:tab w:val="left" w:pos="6135"/>
        </w:tabs>
        <w:spacing w:before="78" w:after="78" w:line="360" w:lineRule="auto"/>
        <w:ind w:firstLine="281"/>
        <w:jc w:val="center"/>
        <w:outlineLvl w:val="1"/>
        <w:rPr>
          <w:rFonts w:ascii="宋体" w:hAnsi="宋体" w:cs="宋体"/>
          <w:b/>
          <w:bCs/>
          <w:sz w:val="28"/>
          <w:szCs w:val="28"/>
        </w:rPr>
      </w:pPr>
      <w:bookmarkStart w:id="157" w:name="_Toc26114"/>
      <w:bookmarkStart w:id="158" w:name="_Toc7746"/>
      <w:r>
        <w:rPr>
          <w:rFonts w:hint="eastAsia" w:ascii="宋体" w:hAnsi="宋体" w:cs="宋体"/>
          <w:b/>
          <w:bCs/>
          <w:sz w:val="28"/>
          <w:szCs w:val="28"/>
        </w:rPr>
        <w:t>九、事前信用承诺书</w:t>
      </w:r>
      <w:bookmarkEnd w:id="157"/>
      <w:bookmarkEnd w:id="158"/>
    </w:p>
    <w:p>
      <w:pPr>
        <w:widowControl/>
        <w:spacing w:before="78" w:after="78" w:line="420" w:lineRule="exact"/>
        <w:ind w:firstLine="480" w:firstLineChars="200"/>
        <w:rPr>
          <w:rFonts w:ascii="宋体" w:hAnsi="宋体" w:cs="宋体"/>
          <w:sz w:val="24"/>
        </w:rPr>
      </w:pPr>
      <w:r>
        <w:rPr>
          <w:rFonts w:hint="eastAsia" w:ascii="宋体" w:hAnsi="宋体" w:cs="宋体"/>
          <w:sz w:val="24"/>
        </w:rPr>
        <w:t>为营造公开、公平、公正、诚实守信的采购交易环境，树立诚信守法的投标人形象，本人代表本单位作出以下承诺：</w:t>
      </w:r>
    </w:p>
    <w:p>
      <w:pPr>
        <w:widowControl/>
        <w:spacing w:before="78" w:after="78" w:line="420" w:lineRule="exact"/>
        <w:ind w:firstLine="480" w:firstLineChars="200"/>
        <w:rPr>
          <w:rFonts w:ascii="宋体" w:hAnsi="宋体" w:cs="宋体"/>
          <w:sz w:val="24"/>
        </w:rPr>
      </w:pPr>
      <w:r>
        <w:rPr>
          <w:rFonts w:hint="eastAsia" w:ascii="宋体" w:hAnsi="宋体" w:cs="宋体"/>
          <w:sz w:val="24"/>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pPr>
        <w:widowControl/>
        <w:spacing w:before="78" w:after="78" w:line="420" w:lineRule="exact"/>
        <w:ind w:firstLine="480" w:firstLineChars="200"/>
        <w:rPr>
          <w:rFonts w:ascii="宋体" w:hAnsi="宋体" w:cs="宋体"/>
          <w:sz w:val="24"/>
        </w:rPr>
      </w:pPr>
      <w:r>
        <w:rPr>
          <w:rFonts w:hint="eastAsia" w:ascii="宋体" w:hAnsi="宋体" w:cs="宋体"/>
          <w:sz w:val="24"/>
        </w:rPr>
        <w:t>（二）本单位无涉及违法、违规不良记录，本单位及相关负责人无因存在重大隐患整改不力、发生有重大社会影响生产安全事故或其他严重违法违规行为而被列入失信联合惩戒的不良记录；</w:t>
      </w:r>
    </w:p>
    <w:p>
      <w:pPr>
        <w:widowControl/>
        <w:spacing w:before="78" w:after="78" w:line="420" w:lineRule="exact"/>
        <w:ind w:firstLine="480" w:firstLineChars="200"/>
        <w:rPr>
          <w:rFonts w:ascii="宋体" w:hAnsi="宋体" w:cs="宋体"/>
          <w:sz w:val="24"/>
        </w:rPr>
      </w:pPr>
      <w:r>
        <w:rPr>
          <w:rFonts w:hint="eastAsia" w:ascii="宋体" w:hAnsi="宋体" w:cs="宋体"/>
          <w:sz w:val="24"/>
        </w:rPr>
        <w:t>（三）严格依照国家和省、市、县的法律、法规、规章、规范性文件参加本次采购投标活动，积极履行社会责任，促进廉政建设；</w:t>
      </w:r>
    </w:p>
    <w:p>
      <w:pPr>
        <w:widowControl/>
        <w:spacing w:before="78" w:after="78" w:line="420" w:lineRule="exact"/>
        <w:rPr>
          <w:rFonts w:ascii="宋体" w:hAnsi="宋体" w:cs="宋体"/>
          <w:sz w:val="24"/>
        </w:rPr>
      </w:pPr>
      <w:r>
        <w:rPr>
          <w:rFonts w:hint="eastAsia" w:ascii="宋体" w:hAnsi="宋体" w:cs="宋体"/>
          <w:sz w:val="24"/>
        </w:rPr>
        <w:t>   （四）自我约束、自我管理，守合同、重信用，自觉维护采购交易的良好秩序，与参与本次采购活动的其他供应商不存在直接控股或管理关系，不参与围标串标、弄虚作假、骗取中标、干扰评标、违约毁约等行为；</w:t>
      </w:r>
    </w:p>
    <w:p>
      <w:pPr>
        <w:widowControl/>
        <w:spacing w:before="78" w:after="78" w:line="420" w:lineRule="exact"/>
        <w:rPr>
          <w:rFonts w:ascii="宋体" w:hAnsi="宋体" w:cs="宋体"/>
          <w:sz w:val="24"/>
        </w:rPr>
      </w:pPr>
      <w:r>
        <w:rPr>
          <w:rFonts w:hint="eastAsia" w:ascii="宋体" w:hAnsi="宋体" w:cs="宋体"/>
          <w:sz w:val="24"/>
        </w:rPr>
        <w:t>   （五）自觉接受政府、行业组织、社会公众、新闻舆论的监督；</w:t>
      </w:r>
    </w:p>
    <w:p>
      <w:pPr>
        <w:widowControl/>
        <w:spacing w:before="78" w:after="78" w:line="420" w:lineRule="exact"/>
        <w:ind w:firstLine="480" w:firstLineChars="200"/>
        <w:rPr>
          <w:rFonts w:ascii="宋体" w:hAnsi="宋体" w:cs="宋体"/>
          <w:sz w:val="24"/>
        </w:rPr>
      </w:pPr>
      <w:r>
        <w:rPr>
          <w:rFonts w:hint="eastAsia" w:ascii="宋体" w:hAnsi="宋体" w:cs="宋体"/>
          <w:sz w:val="24"/>
        </w:rPr>
        <w:t>（六）本单位自愿接受采购监督管理机构和有关行政监督部门的依法检查。如发生违法违规或不良失信行为，自愿接受采购监管机构和有关行政监督部门依法给予的行政处罚（处理），并依法承担相应责任；</w:t>
      </w:r>
    </w:p>
    <w:p>
      <w:pPr>
        <w:widowControl/>
        <w:spacing w:before="78" w:after="78" w:line="420" w:lineRule="exact"/>
        <w:rPr>
          <w:rFonts w:ascii="宋体" w:hAnsi="宋体" w:cs="宋体"/>
          <w:sz w:val="24"/>
        </w:rPr>
      </w:pPr>
      <w:r>
        <w:rPr>
          <w:rFonts w:hint="eastAsia" w:ascii="宋体" w:hAnsi="宋体" w:cs="宋体"/>
          <w:sz w:val="24"/>
        </w:rPr>
        <w:t>   （七）本人已认真阅读上述承诺，并向本单位员工作了宣传教育。</w:t>
      </w:r>
    </w:p>
    <w:p>
      <w:pPr>
        <w:widowControl/>
        <w:spacing w:before="78" w:after="78" w:line="420" w:lineRule="exact"/>
        <w:rPr>
          <w:rFonts w:ascii="宋体" w:hAnsi="宋体" w:cs="宋体"/>
          <w:sz w:val="24"/>
        </w:rPr>
      </w:pPr>
    </w:p>
    <w:p>
      <w:pPr>
        <w:widowControl/>
        <w:spacing w:before="78" w:after="78" w:line="420" w:lineRule="exact"/>
        <w:rPr>
          <w:rFonts w:ascii="宋体" w:hAnsi="宋体" w:cs="宋体"/>
          <w:sz w:val="24"/>
        </w:rPr>
      </w:pPr>
      <w:r>
        <w:rPr>
          <w:rFonts w:hint="eastAsia" w:ascii="宋体" w:hAnsi="宋体" w:cs="宋体"/>
          <w:sz w:val="24"/>
        </w:rPr>
        <w:t xml:space="preserve">                               法定代表人（负责人）签字：</w:t>
      </w:r>
    </w:p>
    <w:p>
      <w:pPr>
        <w:widowControl/>
        <w:spacing w:before="78" w:after="78" w:line="420" w:lineRule="exact"/>
        <w:rPr>
          <w:rFonts w:ascii="宋体" w:hAnsi="宋体" w:cs="宋体"/>
          <w:sz w:val="24"/>
        </w:rPr>
      </w:pPr>
      <w:r>
        <w:rPr>
          <w:rFonts w:hint="eastAsia" w:ascii="宋体" w:hAnsi="宋体" w:cs="宋体"/>
          <w:sz w:val="24"/>
        </w:rPr>
        <w:t xml:space="preserve">                               供应商名称（盖章）：</w:t>
      </w:r>
    </w:p>
    <w:p>
      <w:pPr>
        <w:widowControl/>
        <w:spacing w:before="78" w:after="78" w:line="420" w:lineRule="exact"/>
        <w:rPr>
          <w:rFonts w:ascii="宋体" w:hAnsi="宋体" w:cs="宋体"/>
          <w:sz w:val="24"/>
        </w:rPr>
      </w:pPr>
    </w:p>
    <w:p>
      <w:pPr>
        <w:widowControl/>
        <w:spacing w:before="78" w:after="78" w:line="420" w:lineRule="exact"/>
        <w:ind w:firstLine="5280" w:firstLineChars="2200"/>
        <w:rPr>
          <w:rFonts w:ascii="宋体" w:hAnsi="宋体" w:cs="宋体"/>
          <w:sz w:val="24"/>
        </w:rPr>
      </w:pPr>
      <w:r>
        <w:rPr>
          <w:rFonts w:hint="eastAsia" w:ascii="宋体" w:hAnsi="宋体" w:cs="宋体"/>
          <w:sz w:val="24"/>
        </w:rPr>
        <w:t xml:space="preserve"> 年    月    日</w:t>
      </w:r>
    </w:p>
    <w:p>
      <w:pPr>
        <w:pStyle w:val="49"/>
        <w:jc w:val="center"/>
        <w:outlineLvl w:val="1"/>
        <w:rPr>
          <w:rFonts w:eastAsia="宋体"/>
          <w:b/>
          <w:bCs/>
          <w:color w:val="auto"/>
          <w:kern w:val="2"/>
          <w:sz w:val="28"/>
          <w:szCs w:val="28"/>
        </w:rPr>
      </w:pPr>
      <w:r>
        <w:rPr>
          <w:rFonts w:hint="eastAsia" w:eastAsia="宋体"/>
          <w:color w:val="auto"/>
        </w:rPr>
        <w:br w:type="page"/>
      </w:r>
      <w:bookmarkStart w:id="159" w:name="_Toc10494"/>
      <w:bookmarkStart w:id="160" w:name="_Toc15308"/>
      <w:bookmarkStart w:id="161" w:name="_Toc6410"/>
      <w:r>
        <w:rPr>
          <w:rFonts w:hint="eastAsia" w:eastAsia="宋体"/>
          <w:b/>
          <w:bCs/>
          <w:color w:val="auto"/>
          <w:kern w:val="2"/>
          <w:sz w:val="28"/>
          <w:szCs w:val="28"/>
        </w:rPr>
        <w:t>十、招标文件规定或投标人认为有必要提供的其他文件</w:t>
      </w:r>
      <w:bookmarkEnd w:id="159"/>
      <w:bookmarkEnd w:id="160"/>
      <w:bookmarkEnd w:id="161"/>
    </w:p>
    <w:p>
      <w:pPr>
        <w:pStyle w:val="49"/>
        <w:rPr>
          <w:rFonts w:eastAsia="宋体"/>
          <w:color w:val="auto"/>
        </w:rPr>
      </w:pPr>
    </w:p>
    <w:p>
      <w:pPr>
        <w:jc w:val="center"/>
        <w:rPr>
          <w:rFonts w:hint="eastAsia" w:eastAsia="黑体"/>
          <w:sz w:val="44"/>
        </w:rPr>
      </w:pPr>
      <w:r>
        <w:rPr>
          <w:rFonts w:hint="eastAsia" w:eastAsia="黑体"/>
          <w:sz w:val="44"/>
          <w:lang w:val="en-US" w:eastAsia="zh-CN"/>
        </w:rPr>
        <w:t>结算价格</w:t>
      </w:r>
      <w:r>
        <w:rPr>
          <w:rFonts w:hint="eastAsia" w:eastAsia="黑体"/>
          <w:sz w:val="44"/>
        </w:rPr>
        <w:t>确认函</w:t>
      </w:r>
    </w:p>
    <w:p>
      <w:pPr>
        <w:jc w:val="center"/>
        <w:rPr>
          <w:rFonts w:hint="eastAsia" w:eastAsia="黑体"/>
          <w:sz w:val="44"/>
          <w:lang w:val="en-US" w:eastAsia="zh-CN"/>
        </w:rPr>
      </w:pPr>
      <w:r>
        <w:rPr>
          <w:rFonts w:hint="eastAsia" w:eastAsia="黑体"/>
          <w:sz w:val="44"/>
          <w:lang w:eastAsia="zh-CN"/>
        </w:rPr>
        <w:t>（</w:t>
      </w:r>
      <w:r>
        <w:rPr>
          <w:rFonts w:hint="eastAsia" w:eastAsia="黑体"/>
          <w:sz w:val="44"/>
          <w:lang w:val="en-US" w:eastAsia="zh-CN"/>
        </w:rPr>
        <w:t>格式</w:t>
      </w:r>
      <w:r>
        <w:rPr>
          <w:rFonts w:hint="eastAsia" w:eastAsia="黑体"/>
          <w:sz w:val="44"/>
          <w:lang w:eastAsia="zh-CN"/>
        </w:rPr>
        <w:t>）</w:t>
      </w:r>
    </w:p>
    <w:p>
      <w:pPr>
        <w:rPr>
          <w:rFonts w:eastAsia="黑体"/>
          <w:sz w:val="44"/>
        </w:rPr>
      </w:pPr>
    </w:p>
    <w:p>
      <w:pPr>
        <w:spacing w:line="360" w:lineRule="auto"/>
        <w:rPr>
          <w:rFonts w:eastAsia="仿宋_GB2312"/>
          <w:sz w:val="32"/>
        </w:rPr>
      </w:pPr>
      <w:r>
        <w:rPr>
          <w:rFonts w:hint="eastAsia" w:eastAsia="仿宋_GB2312"/>
          <w:sz w:val="32"/>
        </w:rPr>
        <w:t>江苏英奇热电有限公司：</w:t>
      </w:r>
    </w:p>
    <w:p>
      <w:pPr>
        <w:spacing w:line="360" w:lineRule="auto"/>
        <w:ind w:firstLine="640"/>
        <w:rPr>
          <w:rFonts w:hint="default" w:eastAsia="仿宋_GB2312"/>
          <w:sz w:val="32"/>
          <w:u w:val="single"/>
          <w:lang w:val="en-US"/>
        </w:rPr>
      </w:pPr>
      <w:r>
        <w:rPr>
          <w:rFonts w:hint="eastAsia" w:eastAsia="仿宋_GB2312"/>
          <w:sz w:val="32"/>
          <w:u w:val="single"/>
          <w:lang w:eastAsia="zh-CN"/>
        </w:rPr>
        <w:t>江苏英奇热电有限公司煤炭采购项目（二次）</w:t>
      </w:r>
      <w:r>
        <w:rPr>
          <w:rFonts w:hint="eastAsia" w:eastAsia="仿宋_GB2312"/>
          <w:sz w:val="32"/>
          <w:lang w:val="en-US" w:eastAsia="zh-CN"/>
        </w:rPr>
        <w:t>结算价格</w:t>
      </w:r>
      <w:r>
        <w:rPr>
          <w:rFonts w:hint="eastAsia" w:eastAsia="仿宋_GB2312"/>
          <w:sz w:val="32"/>
        </w:rPr>
        <w:t>，已经我单位确认，同意</w:t>
      </w:r>
      <w:r>
        <w:rPr>
          <w:rFonts w:hint="eastAsia" w:eastAsia="仿宋_GB2312"/>
          <w:sz w:val="32"/>
          <w:lang w:val="en-US" w:eastAsia="zh-CN"/>
        </w:rPr>
        <w:t>按照此结算价格成交并执行合同履约供货。</w:t>
      </w:r>
    </w:p>
    <w:p>
      <w:pPr>
        <w:spacing w:line="360" w:lineRule="auto"/>
        <w:rPr>
          <w:rFonts w:eastAsia="黑体"/>
          <w:sz w:val="44"/>
        </w:rPr>
      </w:pPr>
    </w:p>
    <w:p>
      <w:pPr>
        <w:rPr>
          <w:rFonts w:eastAsia="黑体"/>
          <w:sz w:val="44"/>
        </w:rPr>
      </w:pPr>
    </w:p>
    <w:p>
      <w:pPr>
        <w:spacing w:line="360" w:lineRule="auto"/>
        <w:ind w:firstLine="5789"/>
        <w:rPr>
          <w:rFonts w:eastAsia="仿宋_GB2312"/>
          <w:sz w:val="32"/>
        </w:rPr>
      </w:pPr>
    </w:p>
    <w:p>
      <w:pPr>
        <w:spacing w:line="360" w:lineRule="auto"/>
        <w:ind w:firstLine="4480" w:firstLineChars="1400"/>
        <w:rPr>
          <w:rFonts w:hint="eastAsia" w:eastAsia="仿宋_GB2312"/>
          <w:sz w:val="32"/>
        </w:rPr>
      </w:pPr>
      <w:r>
        <w:rPr>
          <w:rFonts w:hint="eastAsia" w:eastAsia="仿宋_GB2312"/>
          <w:sz w:val="32"/>
          <w:lang w:val="en-US" w:eastAsia="zh-CN"/>
        </w:rPr>
        <w:t>投</w:t>
      </w:r>
      <w:r>
        <w:rPr>
          <w:rFonts w:hint="eastAsia" w:eastAsia="仿宋_GB2312"/>
          <w:sz w:val="32"/>
        </w:rPr>
        <w:t>标单位（盖章）：</w:t>
      </w:r>
    </w:p>
    <w:p>
      <w:pPr>
        <w:spacing w:line="360" w:lineRule="auto"/>
        <w:ind w:firstLine="4480" w:firstLineChars="1400"/>
        <w:rPr>
          <w:rFonts w:hint="default" w:eastAsia="仿宋_GB2312"/>
          <w:sz w:val="32"/>
          <w:lang w:val="en-US" w:eastAsia="zh-CN"/>
        </w:rPr>
      </w:pPr>
      <w:r>
        <w:rPr>
          <w:rFonts w:hint="eastAsia" w:eastAsia="仿宋_GB2312"/>
          <w:sz w:val="32"/>
          <w:lang w:val="en-US" w:eastAsia="zh-CN"/>
        </w:rPr>
        <w:t>单位负责人（签字）：</w:t>
      </w:r>
    </w:p>
    <w:p>
      <w:pPr>
        <w:spacing w:line="360" w:lineRule="auto"/>
        <w:ind w:firstLine="4760" w:firstLineChars="1700"/>
        <w:rPr>
          <w:rFonts w:eastAsia="仿宋_GB2312"/>
          <w:sz w:val="32"/>
        </w:rPr>
      </w:pPr>
      <w:r>
        <w:rPr>
          <w:rFonts w:hint="eastAsia" w:ascii="仿宋_GB2312" w:eastAsia="仿宋_GB2312"/>
          <w:sz w:val="28"/>
          <w:lang w:val="en-US" w:eastAsia="zh-CN"/>
        </w:rPr>
        <w:t>2026</w:t>
      </w:r>
      <w:r>
        <w:rPr>
          <w:rFonts w:hint="eastAsia" w:ascii="仿宋_GB2312" w:eastAsia="仿宋_GB2312"/>
          <w:sz w:val="28"/>
        </w:rPr>
        <w:t>年</w:t>
      </w:r>
      <w:r>
        <w:rPr>
          <w:rFonts w:hint="eastAsia" w:ascii="仿宋_GB2312" w:eastAsia="仿宋_GB2312"/>
          <w:sz w:val="28"/>
          <w:lang w:val="en-US" w:eastAsia="zh-CN"/>
        </w:rPr>
        <w:t xml:space="preserve"> </w:t>
      </w:r>
      <w:r>
        <w:rPr>
          <w:rFonts w:hint="eastAsia" w:ascii="仿宋_GB2312" w:eastAsia="仿宋_GB2312"/>
          <w:sz w:val="28"/>
        </w:rPr>
        <w:t>月</w:t>
      </w:r>
      <w:r>
        <w:rPr>
          <w:rFonts w:hint="eastAsia" w:ascii="仿宋_GB2312" w:eastAsia="仿宋_GB2312"/>
          <w:sz w:val="28"/>
          <w:lang w:val="en-US" w:eastAsia="zh-CN"/>
        </w:rPr>
        <w:t xml:space="preserve">  </w:t>
      </w:r>
      <w:r>
        <w:rPr>
          <w:rFonts w:hint="eastAsia" w:ascii="仿宋_GB2312" w:eastAsia="仿宋_GB2312"/>
          <w:sz w:val="28"/>
        </w:rPr>
        <w:t>日</w:t>
      </w:r>
    </w:p>
    <w:p>
      <w:pPr>
        <w:spacing w:before="78" w:after="78"/>
        <w:ind w:firstLine="240"/>
        <w:rPr>
          <w:rFonts w:hint="eastAsia" w:ascii="宋体" w:hAnsi="宋体" w:eastAsia="宋体" w:cs="宋体"/>
          <w:lang w:val="en-US" w:eastAsia="zh-CN"/>
        </w:rPr>
      </w:pPr>
    </w:p>
    <w:p>
      <w:pPr>
        <w:spacing w:before="78" w:after="78" w:line="360" w:lineRule="auto"/>
        <w:ind w:firstLine="240"/>
        <w:rPr>
          <w:rFonts w:hint="eastAsia" w:ascii="宋体" w:hAnsi="宋体" w:cs="宋体"/>
          <w:b/>
          <w:bCs/>
          <w:color w:val="FF0000"/>
          <w:lang w:val="en-US" w:eastAsia="zh-CN"/>
        </w:rPr>
      </w:pPr>
      <w:r>
        <w:rPr>
          <w:rFonts w:hint="eastAsia" w:ascii="宋体" w:hAnsi="宋体" w:cs="宋体"/>
          <w:b/>
          <w:bCs/>
          <w:color w:val="FF0000"/>
          <w:lang w:val="en-US" w:eastAsia="zh-CN"/>
        </w:rPr>
        <w:t>注：投标单位制作投标文件时无需盖章，开标当天宣布唱标结果时，各个投标单位根据情况是否填写“结算价格确认函”。</w:t>
      </w:r>
    </w:p>
    <w:p>
      <w:pPr>
        <w:pStyle w:val="2"/>
        <w:rPr>
          <w:rFonts w:hint="default"/>
          <w:lang w:val="en-US" w:eastAsia="zh-CN"/>
        </w:rPr>
      </w:pPr>
    </w:p>
    <w:sectPr>
      <w:pgSz w:w="11906" w:h="16838"/>
      <w:pgMar w:top="1440" w:right="1134" w:bottom="1440" w:left="1134" w:header="851" w:footer="68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067E6E7-3D05-4E43-9115-956158A5448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大黑简体">
    <w:altName w:val="黑体"/>
    <w:panose1 w:val="03000509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Footlight MT Light">
    <w:altName w:val="Segoe Print"/>
    <w:panose1 w:val="0204060206030A020304"/>
    <w:charset w:val="00"/>
    <w:family w:val="roman"/>
    <w:pitch w:val="default"/>
    <w:sig w:usb0="00000000" w:usb1="00000000" w:usb2="00000000" w:usb3="00000000" w:csb0="20000001" w:csb1="00000000"/>
  </w:font>
  <w:font w:name="仿宋_GB2312">
    <w:panose1 w:val="02010609030101010101"/>
    <w:charset w:val="86"/>
    <w:family w:val="modern"/>
    <w:pitch w:val="default"/>
    <w:sig w:usb0="00000001" w:usb1="080E0000" w:usb2="00000000" w:usb3="00000000" w:csb0="00040000" w:csb1="00000000"/>
    <w:embedRegular r:id="rId2" w:fontKey="{75B91D9E-C37E-4117-A48F-7794A72CBA57}"/>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Wingdings 2">
    <w:panose1 w:val="05020102010507070707"/>
    <w:charset w:val="02"/>
    <w:family w:val="roman"/>
    <w:pitch w:val="default"/>
    <w:sig w:usb0="00000000" w:usb1="00000000" w:usb2="00000000" w:usb3="00000000" w:csb0="80000000" w:csb1="00000000"/>
  </w:font>
  <w:font w:name="Songti SC Regular">
    <w:altName w:val="微软雅黑"/>
    <w:panose1 w:val="00000000000000000000"/>
    <w:charset w:val="86"/>
    <w:family w:val="auto"/>
    <w:pitch w:val="default"/>
    <w:sig w:usb0="00000000" w:usb1="00000000" w:usb2="00000000" w:usb3="00000000" w:csb0="00160000" w:csb1="00000000"/>
  </w:font>
  <w:font w:name="华文细黑">
    <w:altName w:val="微软雅黑"/>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7F" w:usb3="00000000" w:csb0="203F01FF" w:csb1="DFFF0000"/>
  </w:font>
  <w:font w:name="ˎ̥">
    <w:altName w:val="Times New Roman"/>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31"/>
      </w:rPr>
    </w:pPr>
    <w:r>
      <w:fldChar w:fldCharType="begin"/>
    </w:r>
    <w:r>
      <w:rPr>
        <w:rStyle w:val="31"/>
      </w:rPr>
      <w:instrText xml:space="preserve">PAGE  </w:instrText>
    </w:r>
    <w: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4"/>
                            <w:jc w:val="center"/>
                          </w:pPr>
                          <w:r>
                            <w:fldChar w:fldCharType="begin"/>
                          </w:r>
                          <w:r>
                            <w:instrText xml:space="preserve">PAGE   \* MERGEFORMAT</w:instrText>
                          </w:r>
                          <w:r>
                            <w:fldChar w:fldCharType="separate"/>
                          </w:r>
                          <w:r>
                            <w:rPr>
                              <w:lang w:val="zh-CN"/>
                            </w:rPr>
                            <w:t>3</w:t>
                          </w:r>
                          <w:r>
                            <w:rPr>
                              <w:lang w:val="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pPr>
                      <w:pStyle w:val="14"/>
                      <w:jc w:val="center"/>
                    </w:pPr>
                    <w:r>
                      <w:fldChar w:fldCharType="begin"/>
                    </w:r>
                    <w:r>
                      <w:instrText xml:space="preserve">PAGE   \* MERGEFORMAT</w:instrText>
                    </w:r>
                    <w:r>
                      <w:fldChar w:fldCharType="separate"/>
                    </w:r>
                    <w:r>
                      <w:rPr>
                        <w:lang w:val="zh-CN"/>
                      </w:rPr>
                      <w:t>3</w:t>
                    </w:r>
                    <w:r>
                      <w:rPr>
                        <w:lang w:val="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4"/>
                            <w:jc w:val="center"/>
                          </w:pPr>
                          <w:r>
                            <w:fldChar w:fldCharType="begin"/>
                          </w:r>
                          <w:r>
                            <w:instrText xml:space="preserve">PAGE   \* MERGEFORMAT</w:instrText>
                          </w:r>
                          <w:r>
                            <w:fldChar w:fldCharType="separate"/>
                          </w:r>
                          <w:r>
                            <w:rPr>
                              <w:lang w:val="zh-CN"/>
                            </w:rPr>
                            <w:t>20</w:t>
                          </w:r>
                          <w:r>
                            <w:rPr>
                              <w:lang w:val="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pPr>
                      <w:pStyle w:val="14"/>
                      <w:jc w:val="center"/>
                    </w:pPr>
                    <w:r>
                      <w:fldChar w:fldCharType="begin"/>
                    </w:r>
                    <w:r>
                      <w:instrText xml:space="preserve">PAGE   \* MERGEFORMAT</w:instrText>
                    </w:r>
                    <w:r>
                      <w:fldChar w:fldCharType="separate"/>
                    </w:r>
                    <w:r>
                      <w:rPr>
                        <w:lang w:val="zh-CN"/>
                      </w:rPr>
                      <w:t>20</w:t>
                    </w:r>
                    <w:r>
                      <w:rPr>
                        <w:lang w:val="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4"/>
                            <w:jc w:val="center"/>
                          </w:pPr>
                          <w:r>
                            <w:fldChar w:fldCharType="begin"/>
                          </w:r>
                          <w:r>
                            <w:instrText xml:space="preserve">PAGE   \* MERGEFORMAT</w:instrText>
                          </w:r>
                          <w:r>
                            <w:fldChar w:fldCharType="separate"/>
                          </w:r>
                          <w:r>
                            <w:rPr>
                              <w:lang w:val="zh-CN"/>
                            </w:rPr>
                            <w:t>36</w:t>
                          </w:r>
                          <w:r>
                            <w:rPr>
                              <w:lang w:val="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pPr>
                      <w:pStyle w:val="14"/>
                      <w:jc w:val="center"/>
                    </w:pPr>
                    <w:r>
                      <w:fldChar w:fldCharType="begin"/>
                    </w:r>
                    <w:r>
                      <w:instrText xml:space="preserve">PAGE   \* MERGEFORMAT</w:instrText>
                    </w:r>
                    <w:r>
                      <w:fldChar w:fldCharType="separate"/>
                    </w:r>
                    <w:r>
                      <w:rPr>
                        <w:lang w:val="zh-CN"/>
                      </w:rPr>
                      <w:t>36</w:t>
                    </w:r>
                    <w:r>
                      <w:rPr>
                        <w:lang w:val="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9DD3AF"/>
    <w:multiLevelType w:val="singleLevel"/>
    <w:tmpl w:val="F19DD3AF"/>
    <w:lvl w:ilvl="0" w:tentative="0">
      <w:start w:val="3"/>
      <w:numFmt w:val="chineseCounting"/>
      <w:suff w:val="space"/>
      <w:lvlText w:val="第%1章"/>
      <w:lvlJc w:val="left"/>
      <w:rPr>
        <w:rFonts w:hint="eastAsia"/>
      </w:rPr>
    </w:lvl>
  </w:abstractNum>
  <w:abstractNum w:abstractNumId="1">
    <w:nsid w:val="0000000C"/>
    <w:multiLevelType w:val="multilevel"/>
    <w:tmpl w:val="0000000C"/>
    <w:lvl w:ilvl="0" w:tentative="0">
      <w:start w:val="1"/>
      <w:numFmt w:val="decimal"/>
      <w:pStyle w:val="58"/>
      <w:lvlText w:val="%1."/>
      <w:lvlJc w:val="left"/>
      <w:pPr>
        <w:tabs>
          <w:tab w:val="left" w:pos="907"/>
        </w:tabs>
        <w:ind w:left="907" w:hanging="907"/>
      </w:pPr>
      <w:rPr>
        <w:rFonts w:ascii="宋体" w:hAnsi="宋体" w:eastAsia="宋体"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745701D"/>
    <w:multiLevelType w:val="singleLevel"/>
    <w:tmpl w:val="1745701D"/>
    <w:lvl w:ilvl="0" w:tentative="0">
      <w:start w:val="1"/>
      <w:numFmt w:val="chineseCounting"/>
      <w:suff w:val="space"/>
      <w:lvlText w:val="第%1章"/>
      <w:lvlJc w:val="left"/>
      <w:rPr>
        <w:rFonts w:hint="eastAsia"/>
      </w:rPr>
    </w:lvl>
  </w:abstractNum>
  <w:abstractNum w:abstractNumId="3">
    <w:nsid w:val="4F151FEB"/>
    <w:multiLevelType w:val="multilevel"/>
    <w:tmpl w:val="4F151FEB"/>
    <w:lvl w:ilvl="0" w:tentative="0">
      <w:start w:val="1"/>
      <w:numFmt w:val="chineseCountingThousand"/>
      <w:pStyle w:val="3"/>
      <w:lvlText w:val="%1."/>
      <w:lvlJc w:val="left"/>
      <w:pPr>
        <w:ind w:left="635" w:hanging="425"/>
      </w:pPr>
      <w:rPr>
        <w:rFonts w:hint="eastAsia"/>
      </w:rPr>
    </w:lvl>
    <w:lvl w:ilvl="1" w:tentative="0">
      <w:start w:val="1"/>
      <w:numFmt w:val="decimal"/>
      <w:pStyle w:val="4"/>
      <w:isLgl/>
      <w:lvlText w:val="%1.%2."/>
      <w:lvlJc w:val="left"/>
      <w:pPr>
        <w:ind w:left="1202" w:hanging="567"/>
      </w:pPr>
      <w:rPr>
        <w:rFonts w:hint="eastAsia" w:ascii="仿宋" w:hAnsi="仿宋" w:eastAsia="仿宋"/>
      </w:rPr>
    </w:lvl>
    <w:lvl w:ilvl="2" w:tentative="0">
      <w:start w:val="1"/>
      <w:numFmt w:val="decimal"/>
      <w:isLgl/>
      <w:lvlText w:val="%1.%2.%3."/>
      <w:lvlJc w:val="left"/>
      <w:pPr>
        <w:ind w:left="1628" w:hanging="1305"/>
      </w:pPr>
      <w:rPr>
        <w:rFonts w:hint="eastAsia"/>
      </w:rPr>
    </w:lvl>
    <w:lvl w:ilvl="3" w:tentative="0">
      <w:start w:val="1"/>
      <w:numFmt w:val="decimal"/>
      <w:isLgl/>
      <w:lvlText w:val="%1.%2.%3.%4."/>
      <w:lvlJc w:val="left"/>
      <w:pPr>
        <w:ind w:left="2194" w:hanging="708"/>
      </w:pPr>
      <w:rPr>
        <w:rFonts w:hint="eastAsia"/>
      </w:rPr>
    </w:lvl>
    <w:lvl w:ilvl="4" w:tentative="0">
      <w:start w:val="1"/>
      <w:numFmt w:val="decimal"/>
      <w:isLgl/>
      <w:lvlText w:val="%1.%2.%3.%4.%5."/>
      <w:lvlJc w:val="left"/>
      <w:pPr>
        <w:ind w:left="2761" w:hanging="850"/>
      </w:pPr>
      <w:rPr>
        <w:rFonts w:hint="eastAsia"/>
      </w:rPr>
    </w:lvl>
    <w:lvl w:ilvl="5" w:tentative="0">
      <w:start w:val="1"/>
      <w:numFmt w:val="decimal"/>
      <w:lvlText w:val="%1.%2.%3.%4.%5.%6."/>
      <w:lvlJc w:val="left"/>
      <w:pPr>
        <w:ind w:left="3470" w:hanging="1134"/>
      </w:pPr>
      <w:rPr>
        <w:rFonts w:hint="eastAsia"/>
      </w:rPr>
    </w:lvl>
    <w:lvl w:ilvl="6" w:tentative="0">
      <w:start w:val="1"/>
      <w:numFmt w:val="decimal"/>
      <w:lvlText w:val="%1.%2.%3.%4.%5.%6.%7."/>
      <w:lvlJc w:val="left"/>
      <w:pPr>
        <w:ind w:left="4037" w:hanging="1276"/>
      </w:pPr>
      <w:rPr>
        <w:rFonts w:hint="eastAsia"/>
      </w:rPr>
    </w:lvl>
    <w:lvl w:ilvl="7" w:tentative="0">
      <w:start w:val="1"/>
      <w:numFmt w:val="decimal"/>
      <w:lvlText w:val="%1.%2.%3.%4.%5.%6.%7.%8"/>
      <w:lvlJc w:val="left"/>
      <w:pPr>
        <w:ind w:left="4604" w:hanging="1418"/>
      </w:pPr>
      <w:rPr>
        <w:rFonts w:hint="eastAsia"/>
      </w:rPr>
    </w:lvl>
    <w:lvl w:ilvl="8" w:tentative="0">
      <w:start w:val="1"/>
      <w:numFmt w:val="decimal"/>
      <w:lvlText w:val="%1.%2.%3.%4.%5.%6.%7.%8.%9"/>
      <w:lvlJc w:val="left"/>
      <w:pPr>
        <w:ind w:left="5312" w:hanging="1700"/>
      </w:pPr>
      <w:rPr>
        <w:rFonts w:hint="eastAsia"/>
      </w:rPr>
    </w:lvl>
  </w:abstractNum>
  <w:abstractNum w:abstractNumId="4">
    <w:nsid w:val="5E432D44"/>
    <w:multiLevelType w:val="singleLevel"/>
    <w:tmpl w:val="5E432D44"/>
    <w:lvl w:ilvl="0" w:tentative="0">
      <w:start w:val="1"/>
      <w:numFmt w:val="decimal"/>
      <w:suff w:val="nothing"/>
      <w:lvlText w:val="%1、"/>
      <w:lvlJc w:val="left"/>
      <w:pPr>
        <w:ind w:left="-6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VerticalSpacing w:val="160"/>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zNWJlMzBlYzU1ZWU2YWNjMGU2NTU1MmVjMzc4MjEifQ=="/>
  </w:docVars>
  <w:rsids>
    <w:rsidRoot w:val="002D3B5F"/>
    <w:rsid w:val="00003653"/>
    <w:rsid w:val="00031965"/>
    <w:rsid w:val="000564BD"/>
    <w:rsid w:val="000A396C"/>
    <w:rsid w:val="000A41AD"/>
    <w:rsid w:val="000C3ED5"/>
    <w:rsid w:val="000D54B1"/>
    <w:rsid w:val="0011647B"/>
    <w:rsid w:val="001D51DA"/>
    <w:rsid w:val="001E4ED3"/>
    <w:rsid w:val="001E6E87"/>
    <w:rsid w:val="001F0FD5"/>
    <w:rsid w:val="001F417A"/>
    <w:rsid w:val="00205E67"/>
    <w:rsid w:val="002078C9"/>
    <w:rsid w:val="0021502B"/>
    <w:rsid w:val="002262BD"/>
    <w:rsid w:val="002447A4"/>
    <w:rsid w:val="00245826"/>
    <w:rsid w:val="00245A9F"/>
    <w:rsid w:val="00255C9F"/>
    <w:rsid w:val="002B4514"/>
    <w:rsid w:val="002B4608"/>
    <w:rsid w:val="002D3B5F"/>
    <w:rsid w:val="002E5C67"/>
    <w:rsid w:val="002F0005"/>
    <w:rsid w:val="00311677"/>
    <w:rsid w:val="00311C2C"/>
    <w:rsid w:val="00350EDE"/>
    <w:rsid w:val="00355702"/>
    <w:rsid w:val="003611C8"/>
    <w:rsid w:val="0036352D"/>
    <w:rsid w:val="00381F25"/>
    <w:rsid w:val="00392D68"/>
    <w:rsid w:val="003A6D8F"/>
    <w:rsid w:val="003B727C"/>
    <w:rsid w:val="003C5FB0"/>
    <w:rsid w:val="00444745"/>
    <w:rsid w:val="004A337F"/>
    <w:rsid w:val="004B541A"/>
    <w:rsid w:val="004E4C9C"/>
    <w:rsid w:val="00503F2A"/>
    <w:rsid w:val="00541E04"/>
    <w:rsid w:val="0054423F"/>
    <w:rsid w:val="00547894"/>
    <w:rsid w:val="005524AD"/>
    <w:rsid w:val="00553024"/>
    <w:rsid w:val="0055578C"/>
    <w:rsid w:val="00563AAC"/>
    <w:rsid w:val="00564FEF"/>
    <w:rsid w:val="0056744E"/>
    <w:rsid w:val="00592C0C"/>
    <w:rsid w:val="005A364D"/>
    <w:rsid w:val="005B0771"/>
    <w:rsid w:val="005B3830"/>
    <w:rsid w:val="005E4BEA"/>
    <w:rsid w:val="006418A2"/>
    <w:rsid w:val="006505C8"/>
    <w:rsid w:val="00656078"/>
    <w:rsid w:val="00672FF1"/>
    <w:rsid w:val="006B3925"/>
    <w:rsid w:val="006C2BFE"/>
    <w:rsid w:val="006E26F6"/>
    <w:rsid w:val="006E7BB4"/>
    <w:rsid w:val="00705DA3"/>
    <w:rsid w:val="007111C6"/>
    <w:rsid w:val="0071228E"/>
    <w:rsid w:val="00712AC8"/>
    <w:rsid w:val="007476BC"/>
    <w:rsid w:val="00753811"/>
    <w:rsid w:val="0075772E"/>
    <w:rsid w:val="00775F00"/>
    <w:rsid w:val="00781F26"/>
    <w:rsid w:val="00797751"/>
    <w:rsid w:val="007E0102"/>
    <w:rsid w:val="007E51F8"/>
    <w:rsid w:val="00806C0E"/>
    <w:rsid w:val="008104F6"/>
    <w:rsid w:val="00834517"/>
    <w:rsid w:val="00851BE6"/>
    <w:rsid w:val="008C3EBC"/>
    <w:rsid w:val="008E00D5"/>
    <w:rsid w:val="008E56CB"/>
    <w:rsid w:val="00907FC3"/>
    <w:rsid w:val="00924201"/>
    <w:rsid w:val="009370C3"/>
    <w:rsid w:val="00940EC3"/>
    <w:rsid w:val="00944D47"/>
    <w:rsid w:val="00956E9A"/>
    <w:rsid w:val="00993958"/>
    <w:rsid w:val="009A0400"/>
    <w:rsid w:val="009A18A6"/>
    <w:rsid w:val="009A29C6"/>
    <w:rsid w:val="009A7E82"/>
    <w:rsid w:val="009B36AE"/>
    <w:rsid w:val="009C177F"/>
    <w:rsid w:val="009C7560"/>
    <w:rsid w:val="009D5846"/>
    <w:rsid w:val="00A02DF9"/>
    <w:rsid w:val="00A216F1"/>
    <w:rsid w:val="00A33D11"/>
    <w:rsid w:val="00A34E58"/>
    <w:rsid w:val="00A55A85"/>
    <w:rsid w:val="00A62634"/>
    <w:rsid w:val="00A73C04"/>
    <w:rsid w:val="00A74F5F"/>
    <w:rsid w:val="00A90996"/>
    <w:rsid w:val="00AA33B4"/>
    <w:rsid w:val="00AC5415"/>
    <w:rsid w:val="00AC63B4"/>
    <w:rsid w:val="00AC79ED"/>
    <w:rsid w:val="00B018A7"/>
    <w:rsid w:val="00B01CFD"/>
    <w:rsid w:val="00B2151E"/>
    <w:rsid w:val="00B21C74"/>
    <w:rsid w:val="00B3472A"/>
    <w:rsid w:val="00B3581C"/>
    <w:rsid w:val="00B36513"/>
    <w:rsid w:val="00B64C17"/>
    <w:rsid w:val="00B65AD9"/>
    <w:rsid w:val="00B85062"/>
    <w:rsid w:val="00B86970"/>
    <w:rsid w:val="00B96D65"/>
    <w:rsid w:val="00B97622"/>
    <w:rsid w:val="00BB1F2B"/>
    <w:rsid w:val="00C0052C"/>
    <w:rsid w:val="00C104C4"/>
    <w:rsid w:val="00C40E09"/>
    <w:rsid w:val="00C92947"/>
    <w:rsid w:val="00CA1555"/>
    <w:rsid w:val="00CA4AF6"/>
    <w:rsid w:val="00CB777F"/>
    <w:rsid w:val="00CD2D4B"/>
    <w:rsid w:val="00CF42F0"/>
    <w:rsid w:val="00D26927"/>
    <w:rsid w:val="00D609D5"/>
    <w:rsid w:val="00D72E88"/>
    <w:rsid w:val="00D80F0E"/>
    <w:rsid w:val="00DB3EA6"/>
    <w:rsid w:val="00DE238F"/>
    <w:rsid w:val="00DF31A6"/>
    <w:rsid w:val="00E263FD"/>
    <w:rsid w:val="00E30DCD"/>
    <w:rsid w:val="00E46F37"/>
    <w:rsid w:val="00EC4DCD"/>
    <w:rsid w:val="00F11FB9"/>
    <w:rsid w:val="00F359A8"/>
    <w:rsid w:val="00F5284E"/>
    <w:rsid w:val="00F55929"/>
    <w:rsid w:val="00F85E3C"/>
    <w:rsid w:val="00F907CF"/>
    <w:rsid w:val="00F96017"/>
    <w:rsid w:val="00FA2C47"/>
    <w:rsid w:val="00FC0C2C"/>
    <w:rsid w:val="00FF4D16"/>
    <w:rsid w:val="017001D2"/>
    <w:rsid w:val="01E4047B"/>
    <w:rsid w:val="025E5F48"/>
    <w:rsid w:val="032C1D18"/>
    <w:rsid w:val="0427509E"/>
    <w:rsid w:val="04C61A56"/>
    <w:rsid w:val="04EE39E4"/>
    <w:rsid w:val="06212F3F"/>
    <w:rsid w:val="06330E95"/>
    <w:rsid w:val="06394376"/>
    <w:rsid w:val="063B77BD"/>
    <w:rsid w:val="064D365B"/>
    <w:rsid w:val="065064C6"/>
    <w:rsid w:val="06CF78FE"/>
    <w:rsid w:val="06DD7C9D"/>
    <w:rsid w:val="070807B8"/>
    <w:rsid w:val="07DF3944"/>
    <w:rsid w:val="09152942"/>
    <w:rsid w:val="096B5FE2"/>
    <w:rsid w:val="0A046E66"/>
    <w:rsid w:val="0B1B6549"/>
    <w:rsid w:val="0B791340"/>
    <w:rsid w:val="0BEF0E44"/>
    <w:rsid w:val="0C677D16"/>
    <w:rsid w:val="0CCA460A"/>
    <w:rsid w:val="0CD8398F"/>
    <w:rsid w:val="0D2C5A88"/>
    <w:rsid w:val="0D375D1E"/>
    <w:rsid w:val="0D89448C"/>
    <w:rsid w:val="0E2A6F7C"/>
    <w:rsid w:val="0E3A4735"/>
    <w:rsid w:val="0E640A19"/>
    <w:rsid w:val="0F763231"/>
    <w:rsid w:val="0FC20D9A"/>
    <w:rsid w:val="0FED3E73"/>
    <w:rsid w:val="104C53EC"/>
    <w:rsid w:val="10571A3E"/>
    <w:rsid w:val="108A1444"/>
    <w:rsid w:val="108E42D2"/>
    <w:rsid w:val="10F24383"/>
    <w:rsid w:val="11290DEC"/>
    <w:rsid w:val="1199574C"/>
    <w:rsid w:val="11D10977"/>
    <w:rsid w:val="121C1D0D"/>
    <w:rsid w:val="122B1919"/>
    <w:rsid w:val="12A35B63"/>
    <w:rsid w:val="13984E66"/>
    <w:rsid w:val="139B463A"/>
    <w:rsid w:val="152944BF"/>
    <w:rsid w:val="158C40B5"/>
    <w:rsid w:val="15CC68FF"/>
    <w:rsid w:val="15EC04AB"/>
    <w:rsid w:val="16521D74"/>
    <w:rsid w:val="16B40FC8"/>
    <w:rsid w:val="16F532F5"/>
    <w:rsid w:val="171731EE"/>
    <w:rsid w:val="17B118D4"/>
    <w:rsid w:val="17BA2B60"/>
    <w:rsid w:val="183A374F"/>
    <w:rsid w:val="18526840"/>
    <w:rsid w:val="18D71473"/>
    <w:rsid w:val="18E95F5B"/>
    <w:rsid w:val="196C4184"/>
    <w:rsid w:val="199310A0"/>
    <w:rsid w:val="199329B7"/>
    <w:rsid w:val="19D213F2"/>
    <w:rsid w:val="1A5E3E22"/>
    <w:rsid w:val="1ABC406A"/>
    <w:rsid w:val="1AC050FD"/>
    <w:rsid w:val="1C3B7A96"/>
    <w:rsid w:val="1CF570F3"/>
    <w:rsid w:val="1CFE6E46"/>
    <w:rsid w:val="1D3F4693"/>
    <w:rsid w:val="1D626479"/>
    <w:rsid w:val="1D6D7087"/>
    <w:rsid w:val="1D925F4A"/>
    <w:rsid w:val="1D934DEB"/>
    <w:rsid w:val="1DAA799F"/>
    <w:rsid w:val="1DF83E22"/>
    <w:rsid w:val="1E242B31"/>
    <w:rsid w:val="1E8F44B8"/>
    <w:rsid w:val="1FE00D4A"/>
    <w:rsid w:val="20012B73"/>
    <w:rsid w:val="20091591"/>
    <w:rsid w:val="20846C00"/>
    <w:rsid w:val="208F7C2C"/>
    <w:rsid w:val="209E20FD"/>
    <w:rsid w:val="215654E0"/>
    <w:rsid w:val="21F06FDB"/>
    <w:rsid w:val="232A09AD"/>
    <w:rsid w:val="23CE3E75"/>
    <w:rsid w:val="23D32CCE"/>
    <w:rsid w:val="23D76F49"/>
    <w:rsid w:val="244048D7"/>
    <w:rsid w:val="24B71B97"/>
    <w:rsid w:val="24C820E3"/>
    <w:rsid w:val="24F627AC"/>
    <w:rsid w:val="258372A1"/>
    <w:rsid w:val="26051BD0"/>
    <w:rsid w:val="263F2C7C"/>
    <w:rsid w:val="266128E1"/>
    <w:rsid w:val="26737C48"/>
    <w:rsid w:val="26743CDC"/>
    <w:rsid w:val="268115DA"/>
    <w:rsid w:val="26F87BE0"/>
    <w:rsid w:val="272C2702"/>
    <w:rsid w:val="272D5949"/>
    <w:rsid w:val="273911A4"/>
    <w:rsid w:val="278A50AC"/>
    <w:rsid w:val="280B1E41"/>
    <w:rsid w:val="286803C3"/>
    <w:rsid w:val="29017971"/>
    <w:rsid w:val="297D159E"/>
    <w:rsid w:val="298864EB"/>
    <w:rsid w:val="29EF59F8"/>
    <w:rsid w:val="2A5C2308"/>
    <w:rsid w:val="2AEC2197"/>
    <w:rsid w:val="2B1411A5"/>
    <w:rsid w:val="2B2F6A18"/>
    <w:rsid w:val="2BC84E62"/>
    <w:rsid w:val="2BF00B79"/>
    <w:rsid w:val="2C8E3C12"/>
    <w:rsid w:val="2CA67EFE"/>
    <w:rsid w:val="2D2344D2"/>
    <w:rsid w:val="2DD1668F"/>
    <w:rsid w:val="2DED4CC7"/>
    <w:rsid w:val="2E032404"/>
    <w:rsid w:val="2EFE69CC"/>
    <w:rsid w:val="2F971030"/>
    <w:rsid w:val="30027A4C"/>
    <w:rsid w:val="30772660"/>
    <w:rsid w:val="308A5173"/>
    <w:rsid w:val="30A10522"/>
    <w:rsid w:val="30D665F6"/>
    <w:rsid w:val="314F4439"/>
    <w:rsid w:val="31EC3B26"/>
    <w:rsid w:val="323E7F89"/>
    <w:rsid w:val="32591CA8"/>
    <w:rsid w:val="32CE77C6"/>
    <w:rsid w:val="32D403DA"/>
    <w:rsid w:val="33D9057D"/>
    <w:rsid w:val="344D127A"/>
    <w:rsid w:val="34F258BC"/>
    <w:rsid w:val="34FB02D3"/>
    <w:rsid w:val="34FD28DE"/>
    <w:rsid w:val="351506FB"/>
    <w:rsid w:val="3523004E"/>
    <w:rsid w:val="35446C9F"/>
    <w:rsid w:val="357F23B4"/>
    <w:rsid w:val="35966ED9"/>
    <w:rsid w:val="359C31CA"/>
    <w:rsid w:val="35E1053D"/>
    <w:rsid w:val="36233D64"/>
    <w:rsid w:val="36F15053"/>
    <w:rsid w:val="3736051B"/>
    <w:rsid w:val="375511F3"/>
    <w:rsid w:val="378630B9"/>
    <w:rsid w:val="3787192E"/>
    <w:rsid w:val="37BB44D3"/>
    <w:rsid w:val="38187804"/>
    <w:rsid w:val="38A05250"/>
    <w:rsid w:val="38A37813"/>
    <w:rsid w:val="39FD24D7"/>
    <w:rsid w:val="3A126F4A"/>
    <w:rsid w:val="3AA47D0C"/>
    <w:rsid w:val="3AB90A23"/>
    <w:rsid w:val="3B6B584A"/>
    <w:rsid w:val="3BDB5410"/>
    <w:rsid w:val="3C1B6E25"/>
    <w:rsid w:val="3C1E0062"/>
    <w:rsid w:val="3C713151"/>
    <w:rsid w:val="3CC0198D"/>
    <w:rsid w:val="3CD93664"/>
    <w:rsid w:val="3D0A17A7"/>
    <w:rsid w:val="3D3255F7"/>
    <w:rsid w:val="3D567CF5"/>
    <w:rsid w:val="3D7667C9"/>
    <w:rsid w:val="3DC220D2"/>
    <w:rsid w:val="3E1E1949"/>
    <w:rsid w:val="3FF621E2"/>
    <w:rsid w:val="403063CA"/>
    <w:rsid w:val="40743C5B"/>
    <w:rsid w:val="40AD3FD2"/>
    <w:rsid w:val="40B23DC0"/>
    <w:rsid w:val="40FB2BA4"/>
    <w:rsid w:val="41050C37"/>
    <w:rsid w:val="416C40CA"/>
    <w:rsid w:val="417907BF"/>
    <w:rsid w:val="417D59D4"/>
    <w:rsid w:val="41CE3850"/>
    <w:rsid w:val="423E2252"/>
    <w:rsid w:val="425A3900"/>
    <w:rsid w:val="42E12DA3"/>
    <w:rsid w:val="42E8318A"/>
    <w:rsid w:val="431A0E09"/>
    <w:rsid w:val="43BF55D1"/>
    <w:rsid w:val="43C95229"/>
    <w:rsid w:val="4468003C"/>
    <w:rsid w:val="446C3ADC"/>
    <w:rsid w:val="448474FF"/>
    <w:rsid w:val="448652A9"/>
    <w:rsid w:val="44C304BC"/>
    <w:rsid w:val="44F513DA"/>
    <w:rsid w:val="45312118"/>
    <w:rsid w:val="45CE5353"/>
    <w:rsid w:val="46926F9E"/>
    <w:rsid w:val="46C91677"/>
    <w:rsid w:val="46E21AA4"/>
    <w:rsid w:val="46E84FB2"/>
    <w:rsid w:val="46EC4680"/>
    <w:rsid w:val="474833E1"/>
    <w:rsid w:val="47892BD0"/>
    <w:rsid w:val="478A04BE"/>
    <w:rsid w:val="47B526C2"/>
    <w:rsid w:val="48694A93"/>
    <w:rsid w:val="49245940"/>
    <w:rsid w:val="499B0845"/>
    <w:rsid w:val="49D37E0E"/>
    <w:rsid w:val="4A2304C3"/>
    <w:rsid w:val="4A235542"/>
    <w:rsid w:val="4ACF677A"/>
    <w:rsid w:val="4AF45A9A"/>
    <w:rsid w:val="4B013AD5"/>
    <w:rsid w:val="4B94391F"/>
    <w:rsid w:val="4B9569FF"/>
    <w:rsid w:val="4C055307"/>
    <w:rsid w:val="4C9028E8"/>
    <w:rsid w:val="4CBD03D4"/>
    <w:rsid w:val="4D0A01CA"/>
    <w:rsid w:val="4D1E22C9"/>
    <w:rsid w:val="4D3825B0"/>
    <w:rsid w:val="4D933926"/>
    <w:rsid w:val="4E5D462A"/>
    <w:rsid w:val="4EB077D1"/>
    <w:rsid w:val="4FCF5672"/>
    <w:rsid w:val="4FE16800"/>
    <w:rsid w:val="5079410E"/>
    <w:rsid w:val="50925128"/>
    <w:rsid w:val="50F35FA1"/>
    <w:rsid w:val="51B43D21"/>
    <w:rsid w:val="529274AB"/>
    <w:rsid w:val="529A52C8"/>
    <w:rsid w:val="535A129D"/>
    <w:rsid w:val="53DB1AFB"/>
    <w:rsid w:val="541D347D"/>
    <w:rsid w:val="543B6E3A"/>
    <w:rsid w:val="551D23EE"/>
    <w:rsid w:val="564C1684"/>
    <w:rsid w:val="56A8768D"/>
    <w:rsid w:val="56B470BE"/>
    <w:rsid w:val="575B5E65"/>
    <w:rsid w:val="57A01964"/>
    <w:rsid w:val="584436C4"/>
    <w:rsid w:val="589A0184"/>
    <w:rsid w:val="589B0ACD"/>
    <w:rsid w:val="593830FB"/>
    <w:rsid w:val="599B6EA3"/>
    <w:rsid w:val="59D55398"/>
    <w:rsid w:val="5ADD7AB6"/>
    <w:rsid w:val="5B22329B"/>
    <w:rsid w:val="5B425B17"/>
    <w:rsid w:val="5BB97CDE"/>
    <w:rsid w:val="5CBC7B06"/>
    <w:rsid w:val="5CC75C56"/>
    <w:rsid w:val="5CFD053A"/>
    <w:rsid w:val="5D1E6A44"/>
    <w:rsid w:val="5D4D45DE"/>
    <w:rsid w:val="5DAD1ED4"/>
    <w:rsid w:val="5E532442"/>
    <w:rsid w:val="5EAE58CA"/>
    <w:rsid w:val="5EE90B2B"/>
    <w:rsid w:val="5EF307A8"/>
    <w:rsid w:val="5F0F3B73"/>
    <w:rsid w:val="5F8B7D20"/>
    <w:rsid w:val="5FB55614"/>
    <w:rsid w:val="5FBA4D4A"/>
    <w:rsid w:val="5FBC543F"/>
    <w:rsid w:val="604949A2"/>
    <w:rsid w:val="611C6F5B"/>
    <w:rsid w:val="6135415C"/>
    <w:rsid w:val="61875444"/>
    <w:rsid w:val="61B92590"/>
    <w:rsid w:val="620A0C52"/>
    <w:rsid w:val="62956192"/>
    <w:rsid w:val="62CD2097"/>
    <w:rsid w:val="634A6DDB"/>
    <w:rsid w:val="63640BFC"/>
    <w:rsid w:val="63685706"/>
    <w:rsid w:val="644B2A78"/>
    <w:rsid w:val="648557BD"/>
    <w:rsid w:val="6486057D"/>
    <w:rsid w:val="6488161A"/>
    <w:rsid w:val="649561EC"/>
    <w:rsid w:val="66436E19"/>
    <w:rsid w:val="667752DC"/>
    <w:rsid w:val="674E3A75"/>
    <w:rsid w:val="677F712C"/>
    <w:rsid w:val="67AA386B"/>
    <w:rsid w:val="683F24E5"/>
    <w:rsid w:val="69A0411E"/>
    <w:rsid w:val="69AB27D2"/>
    <w:rsid w:val="6A26657F"/>
    <w:rsid w:val="6A5606FE"/>
    <w:rsid w:val="6A5A309C"/>
    <w:rsid w:val="6A7945A3"/>
    <w:rsid w:val="6ACF2E50"/>
    <w:rsid w:val="6AD358FD"/>
    <w:rsid w:val="6AFC56D4"/>
    <w:rsid w:val="6B8F0831"/>
    <w:rsid w:val="6CF05300"/>
    <w:rsid w:val="6D536886"/>
    <w:rsid w:val="6D571DE5"/>
    <w:rsid w:val="6D8534EE"/>
    <w:rsid w:val="6E103CBF"/>
    <w:rsid w:val="6E1F40EF"/>
    <w:rsid w:val="6E3B07FD"/>
    <w:rsid w:val="6F2579C6"/>
    <w:rsid w:val="6FAD1286"/>
    <w:rsid w:val="6FD42747"/>
    <w:rsid w:val="6FF3352C"/>
    <w:rsid w:val="70351833"/>
    <w:rsid w:val="70726075"/>
    <w:rsid w:val="70B24C1F"/>
    <w:rsid w:val="70CF7324"/>
    <w:rsid w:val="70D43718"/>
    <w:rsid w:val="714F2553"/>
    <w:rsid w:val="71702BF6"/>
    <w:rsid w:val="71F63CE3"/>
    <w:rsid w:val="72014ECB"/>
    <w:rsid w:val="72193598"/>
    <w:rsid w:val="721F6E78"/>
    <w:rsid w:val="727E221E"/>
    <w:rsid w:val="72825DF2"/>
    <w:rsid w:val="728F58A6"/>
    <w:rsid w:val="729A4A2A"/>
    <w:rsid w:val="72E92D54"/>
    <w:rsid w:val="72F36A67"/>
    <w:rsid w:val="733B2002"/>
    <w:rsid w:val="73A92FA5"/>
    <w:rsid w:val="73EA4093"/>
    <w:rsid w:val="73FC1D86"/>
    <w:rsid w:val="744B2B96"/>
    <w:rsid w:val="74937CA0"/>
    <w:rsid w:val="7556233F"/>
    <w:rsid w:val="75771FF9"/>
    <w:rsid w:val="76204ADA"/>
    <w:rsid w:val="76E934EC"/>
    <w:rsid w:val="77000835"/>
    <w:rsid w:val="78524E73"/>
    <w:rsid w:val="78E438AC"/>
    <w:rsid w:val="790477DD"/>
    <w:rsid w:val="790B5B0D"/>
    <w:rsid w:val="797715F8"/>
    <w:rsid w:val="7A055F18"/>
    <w:rsid w:val="7A2F2173"/>
    <w:rsid w:val="7A40385F"/>
    <w:rsid w:val="7A767CCB"/>
    <w:rsid w:val="7A897D20"/>
    <w:rsid w:val="7AE86D02"/>
    <w:rsid w:val="7BE75B20"/>
    <w:rsid w:val="7C37624C"/>
    <w:rsid w:val="7C927836"/>
    <w:rsid w:val="7D0905BF"/>
    <w:rsid w:val="7D2051A1"/>
    <w:rsid w:val="7EE50E2A"/>
    <w:rsid w:val="7EF638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next w:val="1"/>
    <w:qFormat/>
    <w:uiPriority w:val="0"/>
    <w:pPr>
      <w:keepNext/>
      <w:keepLines/>
      <w:numPr>
        <w:ilvl w:val="0"/>
        <w:numId w:val="1"/>
      </w:numPr>
      <w:spacing w:before="340" w:after="120" w:line="578" w:lineRule="auto"/>
      <w:outlineLvl w:val="0"/>
    </w:pPr>
    <w:rPr>
      <w:rFonts w:ascii="Calibri" w:hAnsi="Calibri" w:eastAsia="仿宋" w:cs="Times New Roman"/>
      <w:b/>
      <w:bCs/>
      <w:kern w:val="44"/>
      <w:sz w:val="36"/>
      <w:szCs w:val="44"/>
      <w:lang w:val="en-US" w:eastAsia="zh-CN" w:bidi="ar-SA"/>
    </w:rPr>
  </w:style>
  <w:style w:type="paragraph" w:styleId="4">
    <w:name w:val="heading 2"/>
    <w:next w:val="1"/>
    <w:qFormat/>
    <w:uiPriority w:val="0"/>
    <w:pPr>
      <w:keepNext/>
      <w:keepLines/>
      <w:numPr>
        <w:ilvl w:val="1"/>
        <w:numId w:val="1"/>
      </w:numPr>
      <w:spacing w:before="120" w:after="120" w:line="415" w:lineRule="auto"/>
      <w:outlineLvl w:val="1"/>
    </w:pPr>
    <w:rPr>
      <w:rFonts w:ascii="仿宋" w:hAnsi="仿宋" w:eastAsia="仿宋" w:cs="Times New Roman"/>
      <w:b/>
      <w:bCs/>
      <w:kern w:val="2"/>
      <w:sz w:val="32"/>
      <w:szCs w:val="32"/>
      <w:lang w:val="en-US" w:eastAsia="zh-CN" w:bidi="ar-SA"/>
    </w:rPr>
  </w:style>
  <w:style w:type="paragraph" w:styleId="5">
    <w:name w:val="heading 5"/>
    <w:basedOn w:val="1"/>
    <w:next w:val="1"/>
    <w:link w:val="44"/>
    <w:qFormat/>
    <w:uiPriority w:val="0"/>
    <w:pPr>
      <w:keepNext/>
      <w:keepLines/>
      <w:spacing w:before="280" w:after="290" w:line="376" w:lineRule="auto"/>
      <w:outlineLvl w:val="4"/>
    </w:pPr>
    <w:rPr>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customStyle="1" w:styleId="2">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styleId="6">
    <w:name w:val="annotation text"/>
    <w:basedOn w:val="1"/>
    <w:qFormat/>
    <w:uiPriority w:val="0"/>
    <w:pPr>
      <w:jc w:val="left"/>
    </w:pPr>
  </w:style>
  <w:style w:type="paragraph" w:styleId="7">
    <w:name w:val="Body Text"/>
    <w:basedOn w:val="1"/>
    <w:qFormat/>
    <w:uiPriority w:val="0"/>
    <w:pPr>
      <w:jc w:val="center"/>
    </w:pPr>
    <w:rPr>
      <w:rFonts w:ascii="方正大黑简体" w:eastAsia="方正大黑简体"/>
      <w:kern w:val="44"/>
      <w:position w:val="6"/>
      <w:sz w:val="30"/>
      <w:szCs w:val="20"/>
    </w:rPr>
  </w:style>
  <w:style w:type="paragraph" w:styleId="8">
    <w:name w:val="Body Text Indent"/>
    <w:basedOn w:val="1"/>
    <w:qFormat/>
    <w:uiPriority w:val="0"/>
    <w:pPr>
      <w:spacing w:after="120"/>
      <w:ind w:left="420" w:leftChars="200"/>
    </w:pPr>
  </w:style>
  <w:style w:type="paragraph" w:styleId="9">
    <w:name w:val="toc 3"/>
    <w:basedOn w:val="1"/>
    <w:next w:val="1"/>
    <w:qFormat/>
    <w:uiPriority w:val="0"/>
    <w:pPr>
      <w:ind w:left="420"/>
      <w:jc w:val="left"/>
    </w:pPr>
    <w:rPr>
      <w:i/>
      <w:iCs/>
      <w:sz w:val="20"/>
      <w:szCs w:val="20"/>
    </w:rPr>
  </w:style>
  <w:style w:type="paragraph" w:styleId="10">
    <w:name w:val="Plain Text"/>
    <w:basedOn w:val="1"/>
    <w:next w:val="1"/>
    <w:qFormat/>
    <w:uiPriority w:val="0"/>
    <w:rPr>
      <w:rFonts w:ascii="宋体" w:hAnsi="Courier New"/>
    </w:rPr>
  </w:style>
  <w:style w:type="paragraph" w:styleId="11">
    <w:name w:val="Date"/>
    <w:basedOn w:val="1"/>
    <w:next w:val="1"/>
    <w:qFormat/>
    <w:uiPriority w:val="0"/>
    <w:rPr>
      <w:rFonts w:ascii="宋体" w:hAnsi="宋体" w:eastAsia="楷体_GB2312"/>
      <w:sz w:val="24"/>
      <w:szCs w:val="20"/>
    </w:rPr>
  </w:style>
  <w:style w:type="paragraph" w:styleId="12">
    <w:name w:val="Body Text Indent 2"/>
    <w:basedOn w:val="1"/>
    <w:qFormat/>
    <w:uiPriority w:val="0"/>
    <w:pPr>
      <w:spacing w:line="360" w:lineRule="auto"/>
      <w:ind w:firstLine="425"/>
    </w:pPr>
    <w:rPr>
      <w:rFonts w:ascii="宋体" w:hAnsi="Arial"/>
      <w:color w:val="FF0000"/>
      <w:sz w:val="24"/>
    </w:rPr>
  </w:style>
  <w:style w:type="paragraph" w:styleId="13">
    <w:name w:val="Balloon Text"/>
    <w:basedOn w:val="1"/>
    <w:link w:val="45"/>
    <w:qFormat/>
    <w:uiPriority w:val="0"/>
    <w:rPr>
      <w:sz w:val="18"/>
      <w:szCs w:val="18"/>
    </w:rPr>
  </w:style>
  <w:style w:type="paragraph" w:styleId="14">
    <w:name w:val="footer"/>
    <w:basedOn w:val="1"/>
    <w:link w:val="46"/>
    <w:qFormat/>
    <w:uiPriority w:val="99"/>
    <w:pPr>
      <w:tabs>
        <w:tab w:val="center" w:pos="4153"/>
        <w:tab w:val="right" w:pos="8306"/>
      </w:tabs>
      <w:snapToGrid w:val="0"/>
      <w:jc w:val="left"/>
    </w:pPr>
    <w:rPr>
      <w:sz w:val="18"/>
      <w:szCs w:val="18"/>
    </w:rPr>
  </w:style>
  <w:style w:type="paragraph" w:styleId="15">
    <w:name w:val="envelope return"/>
    <w:basedOn w:val="1"/>
    <w:qFormat/>
    <w:uiPriority w:val="0"/>
    <w:pPr>
      <w:snapToGrid w:val="0"/>
    </w:pPr>
    <w:rPr>
      <w:rFonts w:ascii="Arial" w:hAnsi="Arial"/>
    </w:rPr>
  </w:style>
  <w:style w:type="paragraph" w:styleId="16">
    <w:name w:val="header"/>
    <w:basedOn w:val="1"/>
    <w:link w:val="47"/>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pPr>
      <w:spacing w:before="120" w:after="120"/>
      <w:jc w:val="left"/>
    </w:pPr>
    <w:rPr>
      <w:b/>
      <w:bCs/>
      <w:caps/>
      <w:sz w:val="20"/>
      <w:szCs w:val="20"/>
    </w:rPr>
  </w:style>
  <w:style w:type="paragraph" w:styleId="18">
    <w:name w:val="index heading"/>
    <w:basedOn w:val="1"/>
    <w:next w:val="19"/>
    <w:semiHidden/>
    <w:qFormat/>
    <w:uiPriority w:val="0"/>
    <w:pPr>
      <w:spacing w:line="360" w:lineRule="auto"/>
      <w:ind w:firstLine="482"/>
    </w:pPr>
    <w:rPr>
      <w:rFonts w:ascii="Footlight MT Light" w:hAnsi="Footlight MT Light"/>
      <w:sz w:val="24"/>
      <w:szCs w:val="20"/>
    </w:rPr>
  </w:style>
  <w:style w:type="paragraph" w:styleId="19">
    <w:name w:val="index 1"/>
    <w:basedOn w:val="1"/>
    <w:next w:val="1"/>
    <w:semiHidden/>
    <w:qFormat/>
    <w:uiPriority w:val="0"/>
  </w:style>
  <w:style w:type="paragraph" w:styleId="20">
    <w:name w:val="Body Text Indent 3"/>
    <w:basedOn w:val="1"/>
    <w:qFormat/>
    <w:uiPriority w:val="0"/>
    <w:pPr>
      <w:ind w:left="645" w:firstLine="645"/>
    </w:pPr>
    <w:rPr>
      <w:rFonts w:ascii="Arial" w:hAnsi="Arial" w:eastAsia="仿宋_GB2312"/>
      <w:color w:val="FFFF00"/>
      <w:sz w:val="32"/>
      <w:szCs w:val="32"/>
    </w:rPr>
  </w:style>
  <w:style w:type="paragraph" w:styleId="21">
    <w:name w:val="index 9"/>
    <w:basedOn w:val="1"/>
    <w:next w:val="1"/>
    <w:qFormat/>
    <w:uiPriority w:val="0"/>
    <w:pPr>
      <w:ind w:left="1890" w:hanging="210"/>
      <w:jc w:val="left"/>
    </w:pPr>
  </w:style>
  <w:style w:type="paragraph" w:styleId="22">
    <w:name w:val="toc 2"/>
    <w:basedOn w:val="1"/>
    <w:next w:val="1"/>
    <w:qFormat/>
    <w:uiPriority w:val="0"/>
    <w:pPr>
      <w:tabs>
        <w:tab w:val="right" w:leader="dot" w:pos="8306"/>
      </w:tabs>
      <w:ind w:left="210"/>
      <w:jc w:val="left"/>
    </w:pPr>
    <w:rPr>
      <w:rFonts w:ascii="宋体" w:hAnsi="宋体" w:cs="宋体"/>
      <w:bCs/>
      <w:smallCaps/>
      <w:sz w:val="20"/>
      <w:szCs w:val="28"/>
    </w:rPr>
  </w:style>
  <w:style w:type="paragraph" w:styleId="2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4">
    <w:name w:val="Title"/>
    <w:basedOn w:val="1"/>
    <w:next w:val="1"/>
    <w:qFormat/>
    <w:uiPriority w:val="10"/>
    <w:pPr>
      <w:spacing w:before="240" w:after="60"/>
      <w:jc w:val="center"/>
      <w:outlineLvl w:val="0"/>
    </w:pPr>
    <w:rPr>
      <w:rFonts w:ascii="Cambria" w:hAnsi="Cambria"/>
      <w:b/>
      <w:bCs/>
      <w:sz w:val="32"/>
      <w:szCs w:val="32"/>
    </w:rPr>
  </w:style>
  <w:style w:type="paragraph" w:styleId="25">
    <w:name w:val="Body Text First Indent"/>
    <w:basedOn w:val="7"/>
    <w:qFormat/>
    <w:uiPriority w:val="0"/>
    <w:pPr>
      <w:ind w:firstLine="420" w:firstLineChars="100"/>
    </w:pPr>
    <w:rPr>
      <w:rFonts w:ascii="Times New Roman" w:eastAsia="宋体"/>
    </w:rPr>
  </w:style>
  <w:style w:type="paragraph" w:styleId="26">
    <w:name w:val="Body Text First Indent 2"/>
    <w:basedOn w:val="8"/>
    <w:qFormat/>
    <w:uiPriority w:val="0"/>
    <w:pPr>
      <w:ind w:firstLine="420"/>
    </w:pPr>
  </w:style>
  <w:style w:type="table" w:styleId="28">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qFormat/>
    <w:uiPriority w:val="0"/>
    <w:rPr>
      <w:rFonts w:ascii="Times New Roman" w:hAnsi="Times New Roman" w:eastAsia="宋体" w:cs="Times New Roman"/>
      <w:b/>
      <w:bCs/>
    </w:rPr>
  </w:style>
  <w:style w:type="character" w:styleId="31">
    <w:name w:val="page number"/>
    <w:qFormat/>
    <w:uiPriority w:val="0"/>
    <w:rPr>
      <w:rFonts w:ascii="Times New Roman" w:hAnsi="Times New Roman" w:eastAsia="宋体" w:cs="Times New Roman"/>
    </w:rPr>
  </w:style>
  <w:style w:type="character" w:styleId="32">
    <w:name w:val="FollowedHyperlink"/>
    <w:qFormat/>
    <w:uiPriority w:val="0"/>
    <w:rPr>
      <w:color w:val="800080"/>
      <w:u w:val="none"/>
    </w:rPr>
  </w:style>
  <w:style w:type="character" w:styleId="33">
    <w:name w:val="Emphasis"/>
    <w:qFormat/>
    <w:uiPriority w:val="0"/>
  </w:style>
  <w:style w:type="character" w:styleId="34">
    <w:name w:val="HTML Definition"/>
    <w:qFormat/>
    <w:uiPriority w:val="0"/>
  </w:style>
  <w:style w:type="character" w:styleId="35">
    <w:name w:val="HTML Typewriter"/>
    <w:qFormat/>
    <w:uiPriority w:val="0"/>
    <w:rPr>
      <w:rFonts w:hint="default" w:ascii="monospace" w:hAnsi="monospace" w:eastAsia="monospace" w:cs="monospace"/>
      <w:sz w:val="20"/>
    </w:rPr>
  </w:style>
  <w:style w:type="character" w:styleId="36">
    <w:name w:val="HTML Acronym"/>
    <w:basedOn w:val="29"/>
    <w:qFormat/>
    <w:uiPriority w:val="0"/>
  </w:style>
  <w:style w:type="character" w:styleId="37">
    <w:name w:val="HTML Variable"/>
    <w:qFormat/>
    <w:uiPriority w:val="0"/>
  </w:style>
  <w:style w:type="character" w:styleId="38">
    <w:name w:val="Hyperlink"/>
    <w:qFormat/>
    <w:uiPriority w:val="0"/>
    <w:rPr>
      <w:color w:val="0000FF"/>
      <w:u w:val="none"/>
    </w:rPr>
  </w:style>
  <w:style w:type="character" w:styleId="39">
    <w:name w:val="HTML Code"/>
    <w:qFormat/>
    <w:uiPriority w:val="0"/>
    <w:rPr>
      <w:rFonts w:hint="default" w:ascii="monospace" w:hAnsi="monospace" w:eastAsia="monospace" w:cs="monospace"/>
      <w:sz w:val="20"/>
    </w:rPr>
  </w:style>
  <w:style w:type="character" w:styleId="40">
    <w:name w:val="HTML Cite"/>
    <w:qFormat/>
    <w:uiPriority w:val="0"/>
  </w:style>
  <w:style w:type="character" w:styleId="41">
    <w:name w:val="HTML Keyboard"/>
    <w:qFormat/>
    <w:uiPriority w:val="0"/>
    <w:rPr>
      <w:rFonts w:ascii="monospace" w:hAnsi="monospace" w:eastAsia="monospace" w:cs="monospace"/>
      <w:sz w:val="20"/>
    </w:rPr>
  </w:style>
  <w:style w:type="character" w:styleId="42">
    <w:name w:val="HTML Sample"/>
    <w:qFormat/>
    <w:uiPriority w:val="0"/>
    <w:rPr>
      <w:rFonts w:hint="default" w:ascii="monospace" w:hAnsi="monospace" w:eastAsia="monospace" w:cs="monospace"/>
    </w:rPr>
  </w:style>
  <w:style w:type="paragraph" w:customStyle="1" w:styleId="43">
    <w:name w:val="【正文】"/>
    <w:basedOn w:val="1"/>
    <w:qFormat/>
    <w:uiPriority w:val="0"/>
    <w:pPr>
      <w:widowControl/>
      <w:ind w:firstLine="881"/>
    </w:pPr>
    <w:rPr>
      <w:rFonts w:ascii="Wingdings 2" w:hAnsi="Wingdings 2" w:eastAsia="Songti SC Regular" w:cs="黑体"/>
      <w:szCs w:val="28"/>
    </w:rPr>
  </w:style>
  <w:style w:type="character" w:customStyle="1" w:styleId="44">
    <w:name w:val="标题 5 Char"/>
    <w:link w:val="5"/>
    <w:semiHidden/>
    <w:qFormat/>
    <w:uiPriority w:val="0"/>
    <w:rPr>
      <w:b/>
      <w:bCs/>
      <w:kern w:val="2"/>
      <w:sz w:val="28"/>
      <w:szCs w:val="28"/>
    </w:rPr>
  </w:style>
  <w:style w:type="character" w:customStyle="1" w:styleId="45">
    <w:name w:val="批注框文本 Char"/>
    <w:link w:val="13"/>
    <w:qFormat/>
    <w:uiPriority w:val="0"/>
    <w:rPr>
      <w:kern w:val="2"/>
      <w:sz w:val="18"/>
      <w:szCs w:val="18"/>
    </w:rPr>
  </w:style>
  <w:style w:type="character" w:customStyle="1" w:styleId="46">
    <w:name w:val="页脚 Char"/>
    <w:link w:val="14"/>
    <w:qFormat/>
    <w:uiPriority w:val="99"/>
    <w:rPr>
      <w:kern w:val="2"/>
      <w:sz w:val="18"/>
      <w:szCs w:val="18"/>
    </w:rPr>
  </w:style>
  <w:style w:type="character" w:customStyle="1" w:styleId="47">
    <w:name w:val="页眉 Char"/>
    <w:link w:val="16"/>
    <w:qFormat/>
    <w:uiPriority w:val="99"/>
    <w:rPr>
      <w:kern w:val="2"/>
      <w:sz w:val="18"/>
      <w:szCs w:val="18"/>
    </w:rPr>
  </w:style>
  <w:style w:type="paragraph" w:customStyle="1" w:styleId="48">
    <w:name w:val="表格文字"/>
    <w:basedOn w:val="10"/>
    <w:next w:val="7"/>
    <w:qFormat/>
    <w:uiPriority w:val="0"/>
    <w:pPr>
      <w:adjustRightInd w:val="0"/>
      <w:spacing w:line="420" w:lineRule="atLeast"/>
      <w:jc w:val="left"/>
      <w:textAlignment w:val="baseline"/>
    </w:pPr>
    <w:rPr>
      <w:kern w:val="0"/>
      <w:szCs w:val="20"/>
    </w:rPr>
  </w:style>
  <w:style w:type="paragraph" w:customStyle="1" w:styleId="49">
    <w:name w:val="Default"/>
    <w:qFormat/>
    <w:uiPriority w:val="99"/>
    <w:pPr>
      <w:widowControl w:val="0"/>
      <w:autoSpaceDE w:val="0"/>
      <w:autoSpaceDN w:val="0"/>
      <w:adjustRightInd w:val="0"/>
    </w:pPr>
    <w:rPr>
      <w:rFonts w:ascii="宋体" w:hAnsi="宋体" w:eastAsia="华文细黑" w:cs="宋体"/>
      <w:color w:val="000000"/>
      <w:sz w:val="24"/>
      <w:szCs w:val="24"/>
      <w:lang w:val="en-US" w:eastAsia="zh-CN" w:bidi="ar-SA"/>
    </w:rPr>
  </w:style>
  <w:style w:type="character" w:customStyle="1" w:styleId="50">
    <w:name w:val="NormalCharacter"/>
    <w:semiHidden/>
    <w:qFormat/>
    <w:uiPriority w:val="0"/>
  </w:style>
  <w:style w:type="paragraph" w:customStyle="1" w:styleId="51">
    <w:name w:val="一级条标题"/>
    <w:basedOn w:val="52"/>
    <w:next w:val="53"/>
    <w:qFormat/>
    <w:uiPriority w:val="0"/>
    <w:pPr>
      <w:tabs>
        <w:tab w:val="left" w:pos="810"/>
        <w:tab w:val="left" w:pos="907"/>
        <w:tab w:val="left" w:pos="1265"/>
      </w:tabs>
      <w:ind w:left="907" w:hanging="907"/>
      <w:outlineLvl w:val="2"/>
    </w:pPr>
    <w:rPr>
      <w:rFonts w:hAnsi="宋体"/>
    </w:rPr>
  </w:style>
  <w:style w:type="paragraph" w:customStyle="1" w:styleId="52">
    <w:name w:val="章标题"/>
    <w:next w:val="1"/>
    <w:qFormat/>
    <w:uiPriority w:val="0"/>
    <w:pPr>
      <w:tabs>
        <w:tab w:val="left" w:pos="810"/>
        <w:tab w:val="left" w:pos="1265"/>
      </w:tabs>
      <w:spacing w:before="50" w:after="50"/>
      <w:ind w:left="810" w:hanging="810"/>
      <w:jc w:val="both"/>
      <w:outlineLvl w:val="1"/>
    </w:pPr>
    <w:rPr>
      <w:rFonts w:ascii="黑体" w:hAnsi="Calibri" w:eastAsia="宋体" w:cs="Times New Roman"/>
      <w:kern w:val="2"/>
      <w:sz w:val="21"/>
      <w:szCs w:val="22"/>
      <w:lang w:val="en-US" w:eastAsia="zh-CN" w:bidi="ar-SA"/>
    </w:rPr>
  </w:style>
  <w:style w:type="paragraph" w:customStyle="1" w:styleId="53">
    <w:name w:val="段"/>
    <w:next w:val="54"/>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54">
    <w:name w:val="正文 A"/>
    <w:next w:val="55"/>
    <w:qFormat/>
    <w:uiPriority w:val="99"/>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宋体" w:cs="Arial Unicode MS"/>
      <w:color w:val="000000"/>
      <w:kern w:val="2"/>
      <w:sz w:val="21"/>
      <w:szCs w:val="21"/>
      <w:lang w:val="en-US" w:eastAsia="zh-CN" w:bidi="ar-SA"/>
    </w:rPr>
  </w:style>
  <w:style w:type="paragraph" w:customStyle="1" w:styleId="55">
    <w:name w:val="标题 21"/>
    <w:next w:val="54"/>
    <w:qFormat/>
    <w:uiPriority w:val="0"/>
    <w:pPr>
      <w:keepNext/>
      <w:keepLines/>
      <w:widowControl w:val="0"/>
      <w:spacing w:before="260" w:after="260" w:line="416" w:lineRule="auto"/>
      <w:jc w:val="center"/>
      <w:outlineLvl w:val="0"/>
    </w:pPr>
    <w:rPr>
      <w:rFonts w:hint="eastAsia" w:ascii="Arial Unicode MS" w:hAnsi="Arial Unicode MS" w:eastAsia="Arial Unicode MS" w:cs="Arial Unicode MS"/>
      <w:color w:val="000000"/>
      <w:kern w:val="2"/>
      <w:sz w:val="44"/>
      <w:szCs w:val="44"/>
      <w:lang w:val="en-US" w:eastAsia="zh-CN" w:bidi="ar-SA"/>
    </w:rPr>
  </w:style>
  <w:style w:type="paragraph" w:customStyle="1" w:styleId="56">
    <w:name w:val="_Style 3"/>
    <w:next w:val="2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57">
    <w:name w:val="普通(Web)4"/>
    <w:basedOn w:val="1"/>
    <w:qFormat/>
    <w:uiPriority w:val="0"/>
    <w:pPr>
      <w:widowControl/>
      <w:spacing w:before="100" w:beforeAutospacing="1" w:after="100" w:afterAutospacing="1" w:line="375" w:lineRule="atLeast"/>
      <w:jc w:val="left"/>
    </w:pPr>
    <w:rPr>
      <w:rFonts w:ascii="ˎ̥" w:hAnsi="ˎ̥"/>
      <w:kern w:val="0"/>
      <w:sz w:val="24"/>
    </w:rPr>
  </w:style>
  <w:style w:type="paragraph" w:customStyle="1" w:styleId="58">
    <w:name w:val="不可偏离参数"/>
    <w:basedOn w:val="5"/>
    <w:qFormat/>
    <w:uiPriority w:val="0"/>
    <w:pPr>
      <w:numPr>
        <w:ilvl w:val="0"/>
        <w:numId w:val="2"/>
      </w:numPr>
      <w:tabs>
        <w:tab w:val="left" w:pos="360"/>
        <w:tab w:val="left" w:pos="420"/>
        <w:tab w:val="left" w:pos="630"/>
        <w:tab w:val="clear" w:pos="907"/>
      </w:tabs>
      <w:spacing w:before="0" w:after="0" w:line="240" w:lineRule="auto"/>
      <w:ind w:left="420" w:hanging="420"/>
    </w:pPr>
    <w:rPr>
      <w:b w:val="0"/>
      <w:sz w:val="21"/>
    </w:rPr>
  </w:style>
  <w:style w:type="paragraph" w:customStyle="1" w:styleId="59">
    <w:name w:val="列出段落1"/>
    <w:basedOn w:val="1"/>
    <w:qFormat/>
    <w:uiPriority w:val="34"/>
    <w:pPr>
      <w:ind w:firstLine="420" w:firstLineChars="200"/>
    </w:pPr>
  </w:style>
  <w:style w:type="paragraph" w:customStyle="1" w:styleId="60">
    <w:name w:val="Style1"/>
    <w:qFormat/>
    <w:uiPriority w:val="0"/>
    <w:pPr>
      <w:spacing w:after="120"/>
      <w:jc w:val="both"/>
    </w:pPr>
    <w:rPr>
      <w:rFonts w:ascii="Times New Roman" w:hAnsi="Times New Roman" w:eastAsia="Times New Roman" w:cs="Times New Roman"/>
      <w:color w:val="000000"/>
      <w:spacing w:val="-3"/>
      <w:sz w:val="24"/>
      <w:szCs w:val="24"/>
      <w:lang w:val="en-US" w:eastAsia="zh-CN" w:bidi="ar-SA"/>
    </w:rPr>
  </w:style>
  <w:style w:type="paragraph" w:styleId="61">
    <w:name w:val="List Paragraph"/>
    <w:basedOn w:val="1"/>
    <w:qFormat/>
    <w:uiPriority w:val="0"/>
    <w:pPr>
      <w:ind w:firstLine="420" w:firstLineChars="200"/>
    </w:pPr>
  </w:style>
  <w:style w:type="paragraph" w:customStyle="1" w:styleId="62">
    <w:name w:val="首行缩进"/>
    <w:basedOn w:val="1"/>
    <w:qFormat/>
    <w:uiPriority w:val="0"/>
    <w:pPr>
      <w:spacing w:line="360" w:lineRule="auto"/>
      <w:ind w:firstLine="480" w:firstLineChars="200"/>
      <w:jc w:val="left"/>
    </w:pPr>
    <w:rPr>
      <w:rFonts w:ascii="宋体" w:hAnsi="宋体"/>
      <w:sz w:val="24"/>
    </w:rPr>
  </w:style>
  <w:style w:type="paragraph" w:customStyle="1" w:styleId="63">
    <w:name w:val="正文 New New New New New New New New New New New New New New New1"/>
    <w:qFormat/>
    <w:uiPriority w:val="0"/>
    <w:pPr>
      <w:widowControl w:val="0"/>
      <w:jc w:val="both"/>
    </w:pPr>
    <w:rPr>
      <w:rFonts w:ascii="Times New Roman" w:hAnsi="Times New Roman" w:eastAsia="宋体" w:cs="Times New Roman"/>
      <w:kern w:val="2"/>
      <w:sz w:val="24"/>
      <w:szCs w:val="24"/>
      <w:lang w:val="en-US" w:eastAsia="zh-CN" w:bidi="ar-SA"/>
    </w:rPr>
  </w:style>
  <w:style w:type="paragraph" w:customStyle="1" w:styleId="64">
    <w:name w:val="msolistparagraph"/>
    <w:basedOn w:val="1"/>
    <w:qFormat/>
    <w:uiPriority w:val="99"/>
    <w:pPr>
      <w:ind w:firstLine="420" w:firstLineChars="200"/>
    </w:pPr>
  </w:style>
  <w:style w:type="character" w:customStyle="1" w:styleId="65">
    <w:name w:val="hover1"/>
    <w:qFormat/>
    <w:uiPriority w:val="0"/>
    <w:rPr>
      <w:shd w:val="clear" w:color="auto" w:fill="EEEEEE"/>
    </w:rPr>
  </w:style>
  <w:style w:type="character" w:customStyle="1" w:styleId="66">
    <w:name w:val="old"/>
    <w:qFormat/>
    <w:uiPriority w:val="0"/>
    <w:rPr>
      <w:color w:val="999999"/>
    </w:rPr>
  </w:style>
  <w:style w:type="character" w:customStyle="1" w:styleId="67">
    <w:name w:val="glyphicon"/>
    <w:qFormat/>
    <w:uiPriority w:val="0"/>
  </w:style>
  <w:style w:type="character" w:customStyle="1" w:styleId="68">
    <w:name w:val="hour_am"/>
    <w:qFormat/>
    <w:uiPriority w:val="0"/>
  </w:style>
  <w:style w:type="character" w:customStyle="1" w:styleId="69">
    <w:name w:val="hour_pm"/>
    <w:qFormat/>
    <w:uiPriority w:val="0"/>
  </w:style>
  <w:style w:type="character" w:customStyle="1" w:styleId="70">
    <w:name w:val="font"/>
    <w:qFormat/>
    <w:uiPriority w:val="0"/>
  </w:style>
  <w:style w:type="character" w:customStyle="1" w:styleId="71">
    <w:name w:val="font1"/>
    <w:qFormat/>
    <w:uiPriority w:val="0"/>
  </w:style>
  <w:style w:type="character" w:customStyle="1" w:styleId="72">
    <w:name w:val="gwds_nopic"/>
    <w:qFormat/>
    <w:uiPriority w:val="0"/>
  </w:style>
  <w:style w:type="character" w:customStyle="1" w:styleId="73">
    <w:name w:val="gwds_nopic1"/>
    <w:qFormat/>
    <w:uiPriority w:val="0"/>
  </w:style>
  <w:style w:type="character" w:customStyle="1" w:styleId="74">
    <w:name w:val="gwds_nopic2"/>
    <w:qFormat/>
    <w:uiPriority w:val="0"/>
  </w:style>
  <w:style w:type="character" w:customStyle="1" w:styleId="75">
    <w:name w:val="place"/>
    <w:qFormat/>
    <w:uiPriority w:val="0"/>
  </w:style>
  <w:style w:type="character" w:customStyle="1" w:styleId="76">
    <w:name w:val="place1"/>
    <w:qFormat/>
    <w:uiPriority w:val="0"/>
  </w:style>
  <w:style w:type="character" w:customStyle="1" w:styleId="77">
    <w:name w:val="place2"/>
    <w:qFormat/>
    <w:uiPriority w:val="0"/>
  </w:style>
  <w:style w:type="character" w:customStyle="1" w:styleId="78">
    <w:name w:val="place3"/>
    <w:qFormat/>
    <w:uiPriority w:val="0"/>
    <w:rPr>
      <w:rFonts w:ascii="微软雅黑" w:hAnsi="微软雅黑" w:eastAsia="微软雅黑" w:cs="微软雅黑"/>
      <w:color w:val="888888"/>
      <w:sz w:val="20"/>
      <w:szCs w:val="20"/>
    </w:rPr>
  </w:style>
  <w:style w:type="character" w:customStyle="1" w:styleId="79">
    <w:name w:val="hover17"/>
    <w:qFormat/>
    <w:uiPriority w:val="0"/>
    <w:rPr>
      <w:color w:val="025291"/>
    </w:rPr>
  </w:style>
  <w:style w:type="character" w:customStyle="1" w:styleId="80">
    <w:name w:val="noline"/>
    <w:qFormat/>
    <w:uiPriority w:val="0"/>
  </w:style>
  <w:style w:type="character" w:customStyle="1" w:styleId="81">
    <w:name w:val="hover18"/>
    <w:qFormat/>
    <w:uiPriority w:val="0"/>
    <w:rPr>
      <w:color w:val="025291"/>
    </w:rPr>
  </w:style>
  <w:style w:type="character" w:customStyle="1" w:styleId="82">
    <w:name w:val="font21"/>
    <w:qFormat/>
    <w:uiPriority w:val="0"/>
    <w:rPr>
      <w:rFonts w:hint="eastAsia" w:ascii="等线" w:hAnsi="等线" w:eastAsia="等线" w:cs="等线"/>
      <w:color w:val="000000"/>
      <w:sz w:val="22"/>
      <w:szCs w:val="22"/>
      <w:u w:val="none"/>
    </w:rPr>
  </w:style>
  <w:style w:type="character" w:customStyle="1" w:styleId="83">
    <w:name w:val="font91"/>
    <w:qFormat/>
    <w:uiPriority w:val="0"/>
    <w:rPr>
      <w:rFonts w:hint="default" w:ascii="Times New Roman" w:hAnsi="Times New Roman" w:cs="Times New Roman"/>
      <w:color w:val="000000"/>
      <w:sz w:val="22"/>
      <w:szCs w:val="22"/>
      <w:u w:val="none"/>
    </w:rPr>
  </w:style>
  <w:style w:type="character" w:customStyle="1" w:styleId="84">
    <w:name w:val="font51"/>
    <w:qFormat/>
    <w:uiPriority w:val="0"/>
    <w:rPr>
      <w:rFonts w:hint="eastAsia" w:ascii="宋体" w:hAnsi="宋体" w:eastAsia="宋体" w:cs="宋体"/>
      <w:color w:val="000000"/>
      <w:sz w:val="20"/>
      <w:szCs w:val="20"/>
      <w:u w:val="none"/>
    </w:rPr>
  </w:style>
  <w:style w:type="character" w:customStyle="1" w:styleId="85">
    <w:name w:val="font81"/>
    <w:qFormat/>
    <w:uiPriority w:val="0"/>
    <w:rPr>
      <w:rFonts w:hint="default" w:ascii="Times New Roman" w:hAnsi="Times New Roman" w:cs="Times New Roman"/>
      <w:color w:val="000000"/>
      <w:sz w:val="20"/>
      <w:szCs w:val="20"/>
      <w:u w:val="none"/>
    </w:rPr>
  </w:style>
  <w:style w:type="character" w:customStyle="1" w:styleId="86">
    <w:name w:val="font71"/>
    <w:qFormat/>
    <w:uiPriority w:val="0"/>
    <w:rPr>
      <w:rFonts w:hint="eastAsia" w:ascii="宋体" w:hAnsi="宋体" w:eastAsia="宋体" w:cs="宋体"/>
      <w:color w:val="FF0000"/>
      <w:sz w:val="20"/>
      <w:szCs w:val="20"/>
      <w:u w:val="none"/>
    </w:rPr>
  </w:style>
  <w:style w:type="paragraph" w:customStyle="1" w:styleId="87">
    <w:name w:val="ces正文"/>
    <w:basedOn w:val="1"/>
    <w:qFormat/>
    <w:uiPriority w:val="0"/>
    <w:pPr>
      <w:widowControl/>
      <w:spacing w:line="360" w:lineRule="auto"/>
      <w:ind w:firstLine="480"/>
    </w:pPr>
    <w:rPr>
      <w:rFonts w:ascii="宋体" w:hAnsi="宋体" w:cs="宋体"/>
      <w:sz w:val="24"/>
    </w:rPr>
  </w:style>
  <w:style w:type="character" w:customStyle="1" w:styleId="88">
    <w:name w:val="font31"/>
    <w:qFormat/>
    <w:uiPriority w:val="0"/>
    <w:rPr>
      <w:rFonts w:hint="eastAsia" w:ascii="宋体" w:hAnsi="宋体" w:eastAsia="宋体" w:cs="宋体"/>
      <w:color w:val="000000"/>
      <w:sz w:val="21"/>
      <w:szCs w:val="21"/>
      <w:u w:val="none"/>
    </w:rPr>
  </w:style>
  <w:style w:type="character" w:customStyle="1" w:styleId="89">
    <w:name w:val="font131"/>
    <w:qFormat/>
    <w:uiPriority w:val="0"/>
    <w:rPr>
      <w:rFonts w:hint="eastAsia" w:ascii="宋体" w:hAnsi="宋体" w:eastAsia="宋体" w:cs="宋体"/>
      <w:color w:val="FF0000"/>
      <w:sz w:val="18"/>
      <w:szCs w:val="18"/>
      <w:u w:val="none"/>
    </w:rPr>
  </w:style>
  <w:style w:type="character" w:customStyle="1" w:styleId="90">
    <w:name w:val="font141"/>
    <w:qFormat/>
    <w:uiPriority w:val="0"/>
    <w:rPr>
      <w:rFonts w:hint="eastAsia" w:ascii="微软雅黑" w:hAnsi="微软雅黑" w:eastAsia="微软雅黑" w:cs="微软雅黑"/>
      <w:color w:val="FF0000"/>
      <w:sz w:val="18"/>
      <w:szCs w:val="18"/>
      <w:u w:val="none"/>
    </w:rPr>
  </w:style>
  <w:style w:type="character" w:customStyle="1" w:styleId="91">
    <w:name w:val="font11"/>
    <w:qFormat/>
    <w:uiPriority w:val="0"/>
    <w:rPr>
      <w:rFonts w:hint="eastAsia" w:ascii="宋体" w:hAnsi="宋体" w:eastAsia="宋体" w:cs="宋体"/>
      <w:color w:val="000000"/>
      <w:sz w:val="18"/>
      <w:szCs w:val="18"/>
      <w:u w:val="none"/>
    </w:rPr>
  </w:style>
  <w:style w:type="paragraph" w:customStyle="1" w:styleId="92">
    <w:name w:val="_Style 91"/>
    <w:unhideWhenUsed/>
    <w:qFormat/>
    <w:uiPriority w:val="99"/>
    <w:rPr>
      <w:rFonts w:ascii="Times New Roman" w:hAnsi="Times New Roman" w:eastAsia="宋体" w:cs="Times New Roman"/>
      <w:kern w:val="2"/>
      <w:sz w:val="21"/>
      <w:szCs w:val="24"/>
      <w:lang w:val="en-US" w:eastAsia="zh-CN" w:bidi="ar-SA"/>
    </w:rPr>
  </w:style>
  <w:style w:type="character" w:customStyle="1" w:styleId="93">
    <w:name w:val="font01"/>
    <w:basedOn w:val="29"/>
    <w:qFormat/>
    <w:uiPriority w:val="0"/>
    <w:rPr>
      <w:rFonts w:hint="eastAsia" w:ascii="宋体" w:hAnsi="宋体" w:eastAsia="宋体" w:cs="宋体"/>
      <w:b/>
      <w:bCs/>
      <w:color w:val="000000"/>
      <w:sz w:val="20"/>
      <w:szCs w:val="20"/>
      <w:u w:val="none"/>
    </w:rPr>
  </w:style>
  <w:style w:type="character" w:customStyle="1" w:styleId="94">
    <w:name w:val="btn-task-gray2"/>
    <w:basedOn w:val="29"/>
    <w:qFormat/>
    <w:uiPriority w:val="0"/>
    <w:rPr>
      <w:color w:val="FFFFFF"/>
      <w:u w:val="none"/>
      <w:shd w:val="clear" w:color="auto" w:fill="CCCCCC"/>
    </w:rPr>
  </w:style>
  <w:style w:type="character" w:customStyle="1" w:styleId="95">
    <w:name w:val="s1"/>
    <w:basedOn w:val="29"/>
    <w:qFormat/>
    <w:uiPriority w:val="0"/>
    <w:rPr>
      <w:color w:val="DDDDDD"/>
      <w:sz w:val="18"/>
      <w:szCs w:val="18"/>
    </w:rPr>
  </w:style>
  <w:style w:type="character" w:customStyle="1" w:styleId="96">
    <w:name w:val="btn-auto-1"/>
    <w:basedOn w:val="29"/>
    <w:qFormat/>
    <w:uiPriority w:val="0"/>
  </w:style>
  <w:style w:type="character" w:customStyle="1" w:styleId="97">
    <w:name w:val="btn-task-gray3"/>
    <w:basedOn w:val="29"/>
    <w:qFormat/>
    <w:uiPriority w:val="0"/>
  </w:style>
  <w:style w:type="character" w:customStyle="1" w:styleId="98">
    <w:name w:val="hover"/>
    <w:basedOn w:val="29"/>
    <w:qFormat/>
    <w:uiPriority w:val="0"/>
    <w:rPr>
      <w:color w:val="FF7B0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daohangxitong.com</Company>
  <Pages>42</Pages>
  <Words>18587</Words>
  <Characters>20106</Characters>
  <Lines>27</Lines>
  <Paragraphs>38</Paragraphs>
  <TotalTime>21</TotalTime>
  <ScaleCrop>false</ScaleCrop>
  <LinksUpToDate>false</LinksUpToDate>
  <CharactersWithSpaces>20902</CharactersWithSpaces>
  <Application>WPS Office_11.1.0.15320_F1E327BC-269C-435d-A152-05C5408002CA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2022-03-22T10:19:00Z</dcterms:created>
  <dc:creator>JHSWH1976</dc:creator>
  <cp:lastModifiedBy>WPS_1761553465</cp:lastModifiedBy>
  <cp:lastPrinted>2026-04-22T02:25:00Z</cp:lastPrinted>
  <dcterms:modified xsi:type="dcterms:W3CDTF">2026-06-05T07:56:20Z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2052-11.1.0.15320</vt:lpwstr>
  </property>
  <property fmtid="{D5CDD505-2E9C-101B-9397-08002B2CF9AE}" pid="3" name="ICV">
    <vt:lpwstr>B9C5C192D9A64D1F96EC83C35FCFD14D_13</vt:lpwstr>
  </property>
  <property fmtid="{D5CDD505-2E9C-101B-9397-08002B2CF9AE}" pid="4" name="KSOTemplateDocerSaveRecord">
    <vt:lpwstr>eyJoZGlkIjoiNGE1YTlmMzcyYjFjNjVkMTFhNDE1MTk0YzFhMmM1MTkiLCJ1c2VySWQiOiIzMzM3MjA5NDIifQ==</vt:lpwstr>
  </property>
</Properties>
</file>